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EC9BB" w14:textId="40FEC2CD" w:rsidR="006E44A2" w:rsidRPr="00C475BA" w:rsidRDefault="00E2535F" w:rsidP="00303816">
      <w:pPr>
        <w:pStyle w:val="4Heading1"/>
        <w:spacing w:after="120"/>
        <w:rPr>
          <w:rFonts w:ascii="Century Gothic" w:hAnsi="Century Gothic"/>
          <w:color w:val="auto"/>
          <w:sz w:val="32"/>
          <w:szCs w:val="32"/>
        </w:rPr>
      </w:pPr>
      <w:r>
        <w:rPr>
          <w:rFonts w:ascii="Century Gothic" w:hAnsi="Century Gothic"/>
          <w:color w:val="auto"/>
          <w:sz w:val="32"/>
          <w:szCs w:val="32"/>
        </w:rPr>
        <w:t>Thrussington</w:t>
      </w:r>
      <w:r w:rsidR="003A39A0" w:rsidRPr="1CF9056B">
        <w:rPr>
          <w:rFonts w:ascii="Century Gothic" w:hAnsi="Century Gothic"/>
          <w:color w:val="auto"/>
          <w:sz w:val="32"/>
          <w:szCs w:val="32"/>
        </w:rPr>
        <w:t xml:space="preserve"> CE Primary School </w:t>
      </w:r>
      <w:r w:rsidR="00746CDB" w:rsidRPr="1CF9056B">
        <w:rPr>
          <w:rFonts w:ascii="Century Gothic" w:hAnsi="Century Gothic"/>
          <w:color w:val="auto"/>
          <w:sz w:val="32"/>
          <w:szCs w:val="32"/>
        </w:rPr>
        <w:t>COVID</w:t>
      </w:r>
      <w:r w:rsidR="006846AC" w:rsidRPr="1CF9056B">
        <w:rPr>
          <w:rFonts w:ascii="Century Gothic" w:hAnsi="Century Gothic"/>
          <w:color w:val="auto"/>
          <w:sz w:val="32"/>
          <w:szCs w:val="32"/>
        </w:rPr>
        <w:t>-19</w:t>
      </w:r>
      <w:r w:rsidR="00746CDB" w:rsidRPr="1CF9056B">
        <w:rPr>
          <w:rFonts w:ascii="Century Gothic" w:hAnsi="Century Gothic"/>
          <w:color w:val="auto"/>
          <w:sz w:val="32"/>
          <w:szCs w:val="32"/>
        </w:rPr>
        <w:t xml:space="preserve"> c</w:t>
      </w:r>
      <w:r w:rsidR="00252AD0" w:rsidRPr="1CF9056B">
        <w:rPr>
          <w:rFonts w:ascii="Century Gothic" w:hAnsi="Century Gothic"/>
          <w:color w:val="auto"/>
          <w:sz w:val="32"/>
          <w:szCs w:val="32"/>
        </w:rPr>
        <w:t>atch-up</w:t>
      </w:r>
      <w:r w:rsidR="00305626" w:rsidRPr="1CF9056B">
        <w:rPr>
          <w:rFonts w:ascii="Century Gothic" w:hAnsi="Century Gothic"/>
          <w:color w:val="auto"/>
          <w:sz w:val="32"/>
          <w:szCs w:val="32"/>
        </w:rPr>
        <w:t xml:space="preserve"> premium report</w:t>
      </w:r>
      <w:r w:rsidR="0022362F" w:rsidRPr="1CF9056B">
        <w:rPr>
          <w:rFonts w:ascii="Century Gothic" w:hAnsi="Century Gothic"/>
          <w:color w:val="auto"/>
          <w:sz w:val="32"/>
          <w:szCs w:val="32"/>
        </w:rPr>
        <w:t xml:space="preserve"> </w:t>
      </w:r>
      <w:r>
        <w:rPr>
          <w:rFonts w:ascii="Century Gothic" w:hAnsi="Century Gothic"/>
          <w:color w:val="auto"/>
          <w:sz w:val="32"/>
          <w:szCs w:val="32"/>
        </w:rPr>
        <w:t xml:space="preserve">                      </w:t>
      </w:r>
      <w:r>
        <w:rPr>
          <w:noProof/>
          <w:lang w:eastAsia="en-GB"/>
        </w:rPr>
        <w:drawing>
          <wp:inline distT="0" distB="0" distL="0" distR="0" wp14:anchorId="708BDD61" wp14:editId="48A4689F">
            <wp:extent cx="1219276"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6028" cy="810916"/>
                    </a:xfrm>
                    <a:prstGeom prst="rect">
                      <a:avLst/>
                    </a:prstGeom>
                  </pic:spPr>
                </pic:pic>
              </a:graphicData>
            </a:graphic>
          </wp:inline>
        </w:drawing>
      </w:r>
    </w:p>
    <w:p w14:paraId="67EDEF30" w14:textId="5875D991" w:rsidR="006E44A2" w:rsidRPr="00C475BA" w:rsidRDefault="00F41C17" w:rsidP="006E44A2">
      <w:pPr>
        <w:pStyle w:val="1bodycopy"/>
        <w:rPr>
          <w:rFonts w:ascii="Century Gothic" w:hAnsi="Century Gothic"/>
        </w:rPr>
      </w:pPr>
      <w:r w:rsidRPr="00C475BA">
        <w:rPr>
          <w:rFonts w:ascii="Century Gothic" w:hAnsi="Century Gothic"/>
          <w:noProof/>
          <w:lang w:val="en-GB" w:eastAsia="en-GB"/>
        </w:rPr>
        <mc:AlternateContent>
          <mc:Choice Requires="wps">
            <w:drawing>
              <wp:anchor distT="4294967294" distB="4294967294" distL="114300" distR="114300" simplePos="0" relativeHeight="251657728" behindDoc="0" locked="0" layoutInCell="1" allowOverlap="1" wp14:anchorId="49CE4C14" wp14:editId="544E3C8D">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0FC9D5"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2DFDDFC7" w14:textId="77777777" w:rsidR="00B11EA7" w:rsidRPr="00C475BA" w:rsidRDefault="00252AD0" w:rsidP="00A006CF">
      <w:pPr>
        <w:pStyle w:val="2Subheadpink"/>
        <w:rPr>
          <w:rFonts w:ascii="Century Gothic" w:hAnsi="Century Gothic"/>
          <w:i/>
          <w:color w:val="auto"/>
          <w:sz w:val="24"/>
          <w:szCs w:val="24"/>
        </w:rPr>
      </w:pPr>
      <w:r w:rsidRPr="00C475BA">
        <w:rPr>
          <w:rFonts w:ascii="Century Gothic" w:hAnsi="Century Gothic"/>
          <w:noProof/>
          <w:color w:val="auto"/>
          <w:sz w:val="24"/>
          <w:szCs w:val="24"/>
        </w:rPr>
        <w:t>C</w:t>
      </w:r>
      <w:r w:rsidR="002570C9" w:rsidRPr="00C475BA">
        <w:rPr>
          <w:rFonts w:ascii="Century Gothic" w:hAnsi="Century Gothic"/>
          <w:noProof/>
          <w:color w:val="auto"/>
          <w:sz w:val="24"/>
          <w:szCs w:val="24"/>
        </w:rPr>
        <w:t>OVID</w:t>
      </w:r>
      <w:r w:rsidR="006846AC" w:rsidRPr="00C475BA">
        <w:rPr>
          <w:rFonts w:ascii="Century Gothic" w:hAnsi="Century Gothic"/>
          <w:noProof/>
          <w:color w:val="auto"/>
          <w:sz w:val="24"/>
          <w:szCs w:val="24"/>
        </w:rPr>
        <w:t>-19</w:t>
      </w:r>
      <w:r w:rsidR="002570C9" w:rsidRPr="00C475BA">
        <w:rPr>
          <w:rFonts w:ascii="Century Gothic" w:hAnsi="Century Gothic"/>
          <w:noProof/>
          <w:color w:val="auto"/>
          <w:sz w:val="24"/>
          <w:szCs w:val="24"/>
        </w:rPr>
        <w:t xml:space="preserve"> c</w:t>
      </w:r>
      <w:r w:rsidRPr="00C475BA">
        <w:rPr>
          <w:rFonts w:ascii="Century Gothic" w:hAnsi="Century Gothic"/>
          <w:noProof/>
          <w:color w:val="auto"/>
          <w:sz w:val="24"/>
          <w:szCs w:val="24"/>
        </w:rPr>
        <w:t>atch-up</w:t>
      </w:r>
      <w:r w:rsidR="00305626" w:rsidRPr="00C475BA">
        <w:rPr>
          <w:rFonts w:ascii="Century Gothic" w:hAnsi="Century Gothic"/>
          <w:noProof/>
          <w:color w:val="auto"/>
          <w:sz w:val="24"/>
          <w:szCs w:val="24"/>
        </w:rPr>
        <w:t xml:space="preserve"> premium spendi</w:t>
      </w:r>
      <w:r w:rsidRPr="00C475BA">
        <w:rPr>
          <w:rFonts w:ascii="Century Gothic" w:hAnsi="Century Gothic"/>
          <w:noProof/>
          <w:color w:val="auto"/>
          <w:sz w:val="24"/>
          <w:szCs w:val="24"/>
        </w:rPr>
        <w:t>ng: summary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48"/>
        <w:gridCol w:w="2832"/>
        <w:gridCol w:w="5055"/>
        <w:gridCol w:w="2224"/>
      </w:tblGrid>
      <w:tr w:rsidR="00AD347A" w:rsidRPr="00C475BA" w14:paraId="36BBC36F" w14:textId="77777777" w:rsidTr="00AD347A">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D9D9D9"/>
            <w:tcMar>
              <w:top w:w="113" w:type="dxa"/>
              <w:bottom w:w="113" w:type="dxa"/>
            </w:tcMar>
          </w:tcPr>
          <w:p w14:paraId="7F7E98E0" w14:textId="77777777" w:rsidR="00305626" w:rsidRPr="00C475BA" w:rsidRDefault="00AD347A" w:rsidP="00AD347A">
            <w:pPr>
              <w:rPr>
                <w:rFonts w:ascii="Century Gothic" w:hAnsi="Century Gothic"/>
                <w:b/>
                <w:bCs/>
              </w:rPr>
            </w:pPr>
            <w:r w:rsidRPr="00C475BA">
              <w:rPr>
                <w:rFonts w:ascii="Century Gothic" w:hAnsi="Century Gothic"/>
                <w:b/>
                <w:bCs/>
              </w:rPr>
              <w:t>S</w:t>
            </w:r>
            <w:r w:rsidR="00305626" w:rsidRPr="00C475BA">
              <w:rPr>
                <w:rFonts w:ascii="Century Gothic" w:hAnsi="Century Gothic"/>
                <w:b/>
                <w:bCs/>
              </w:rPr>
              <w:t xml:space="preserve">ummary </w:t>
            </w:r>
            <w:r w:rsidRPr="00C475BA">
              <w:rPr>
                <w:rFonts w:ascii="Century Gothic" w:hAnsi="Century Gothic"/>
                <w:b/>
                <w:bCs/>
              </w:rPr>
              <w:t>I</w:t>
            </w:r>
            <w:r w:rsidR="00305626" w:rsidRPr="00C475BA">
              <w:rPr>
                <w:rFonts w:ascii="Century Gothic" w:hAnsi="Century Gothic"/>
                <w:b/>
                <w:bCs/>
              </w:rPr>
              <w:t>nformation</w:t>
            </w:r>
          </w:p>
        </w:tc>
      </w:tr>
      <w:tr w:rsidR="004E641E" w:rsidRPr="00C475BA" w14:paraId="5DB5AC0F" w14:textId="77777777" w:rsidTr="006128D4">
        <w:trPr>
          <w:cantSplit/>
        </w:trPr>
        <w:tc>
          <w:tcPr>
            <w:tcW w:w="4348" w:type="dxa"/>
            <w:shd w:val="clear" w:color="auto" w:fill="auto"/>
            <w:tcMar>
              <w:top w:w="113" w:type="dxa"/>
              <w:bottom w:w="113" w:type="dxa"/>
            </w:tcMar>
          </w:tcPr>
          <w:p w14:paraId="5C454F1E" w14:textId="77777777" w:rsidR="004E641E" w:rsidRPr="00C475BA" w:rsidRDefault="004E641E" w:rsidP="004E641E">
            <w:pPr>
              <w:pStyle w:val="7Tablebodycopy"/>
              <w:rPr>
                <w:rFonts w:ascii="Century Gothic" w:hAnsi="Century Gothic"/>
              </w:rPr>
            </w:pPr>
            <w:r w:rsidRPr="00C475BA">
              <w:rPr>
                <w:rFonts w:ascii="Century Gothic" w:hAnsi="Century Gothic"/>
              </w:rPr>
              <w:t>Total number of pupils:</w:t>
            </w:r>
          </w:p>
        </w:tc>
        <w:tc>
          <w:tcPr>
            <w:tcW w:w="2832" w:type="dxa"/>
            <w:shd w:val="clear" w:color="auto" w:fill="auto"/>
            <w:tcMar>
              <w:top w:w="113" w:type="dxa"/>
              <w:bottom w:w="113" w:type="dxa"/>
            </w:tcMar>
          </w:tcPr>
          <w:p w14:paraId="69F90AE9" w14:textId="7D9F2203" w:rsidR="004E641E" w:rsidRPr="00C475BA" w:rsidRDefault="00E2535F" w:rsidP="004E641E">
            <w:pPr>
              <w:pStyle w:val="7Tablebodycopy"/>
              <w:rPr>
                <w:rFonts w:ascii="Century Gothic" w:hAnsi="Century Gothic"/>
              </w:rPr>
            </w:pPr>
            <w:r>
              <w:rPr>
                <w:rFonts w:ascii="Century Gothic" w:hAnsi="Century Gothic"/>
              </w:rPr>
              <w:t>72</w:t>
            </w:r>
          </w:p>
        </w:tc>
        <w:tc>
          <w:tcPr>
            <w:tcW w:w="5055" w:type="dxa"/>
          </w:tcPr>
          <w:p w14:paraId="122484C2" w14:textId="77777777" w:rsidR="004E641E" w:rsidRPr="00C475BA" w:rsidRDefault="004E641E" w:rsidP="004E641E">
            <w:pPr>
              <w:pStyle w:val="7Tablebodycopy"/>
              <w:rPr>
                <w:rFonts w:ascii="Century Gothic" w:hAnsi="Century Gothic"/>
              </w:rPr>
            </w:pPr>
            <w:r w:rsidRPr="00C475BA">
              <w:rPr>
                <w:rFonts w:ascii="Century Gothic" w:hAnsi="Century Gothic"/>
              </w:rPr>
              <w:t>Amount of catch-up premium received per pupil:</w:t>
            </w:r>
          </w:p>
        </w:tc>
        <w:tc>
          <w:tcPr>
            <w:tcW w:w="2224" w:type="dxa"/>
            <w:shd w:val="clear" w:color="auto" w:fill="auto"/>
            <w:tcMar>
              <w:top w:w="113" w:type="dxa"/>
              <w:bottom w:w="113" w:type="dxa"/>
            </w:tcMar>
          </w:tcPr>
          <w:p w14:paraId="1E05C079" w14:textId="0AD1CC74" w:rsidR="004E641E" w:rsidRPr="00C475BA" w:rsidRDefault="000B4B19" w:rsidP="00E2535F">
            <w:pPr>
              <w:pStyle w:val="7Tablebodycopy"/>
              <w:rPr>
                <w:rFonts w:ascii="Century Gothic" w:hAnsi="Century Gothic"/>
              </w:rPr>
            </w:pPr>
            <w:r w:rsidRPr="00C475BA">
              <w:rPr>
                <w:rFonts w:ascii="Century Gothic" w:hAnsi="Century Gothic"/>
              </w:rPr>
              <w:t>£8</w:t>
            </w:r>
            <w:r w:rsidR="00E2535F">
              <w:rPr>
                <w:rFonts w:ascii="Century Gothic" w:hAnsi="Century Gothic"/>
              </w:rPr>
              <w:t>0</w:t>
            </w:r>
          </w:p>
        </w:tc>
      </w:tr>
      <w:tr w:rsidR="004E641E" w:rsidRPr="00C475BA" w14:paraId="2149BE83" w14:textId="77777777" w:rsidTr="006128D4">
        <w:trPr>
          <w:cantSplit/>
        </w:trPr>
        <w:tc>
          <w:tcPr>
            <w:tcW w:w="4348" w:type="dxa"/>
            <w:shd w:val="clear" w:color="auto" w:fill="auto"/>
            <w:tcMar>
              <w:top w:w="113" w:type="dxa"/>
              <w:bottom w:w="113" w:type="dxa"/>
            </w:tcMar>
          </w:tcPr>
          <w:p w14:paraId="1D96ADF1" w14:textId="77777777" w:rsidR="004E641E" w:rsidRPr="00C475BA" w:rsidRDefault="004E641E" w:rsidP="004E641E">
            <w:pPr>
              <w:pStyle w:val="7Tablebodycopy"/>
              <w:rPr>
                <w:rFonts w:ascii="Century Gothic" w:hAnsi="Century Gothic"/>
              </w:rPr>
            </w:pPr>
            <w:r w:rsidRPr="00C475BA">
              <w:rPr>
                <w:rFonts w:ascii="Century Gothic" w:hAnsi="Century Gothic"/>
              </w:rPr>
              <w:t>Total catch-up premium budget:</w:t>
            </w:r>
          </w:p>
        </w:tc>
        <w:tc>
          <w:tcPr>
            <w:tcW w:w="2832" w:type="dxa"/>
            <w:shd w:val="clear" w:color="auto" w:fill="auto"/>
            <w:tcMar>
              <w:top w:w="113" w:type="dxa"/>
              <w:bottom w:w="113" w:type="dxa"/>
            </w:tcMar>
          </w:tcPr>
          <w:p w14:paraId="389BBF02" w14:textId="0D518973" w:rsidR="004E641E" w:rsidRPr="00C475BA" w:rsidRDefault="000B4B19" w:rsidP="00E2535F">
            <w:pPr>
              <w:pStyle w:val="7Tablebodycopy"/>
              <w:rPr>
                <w:rFonts w:ascii="Century Gothic" w:hAnsi="Century Gothic"/>
              </w:rPr>
            </w:pPr>
            <w:r w:rsidRPr="00C475BA">
              <w:rPr>
                <w:rFonts w:ascii="Century Gothic" w:hAnsi="Century Gothic"/>
              </w:rPr>
              <w:t>£</w:t>
            </w:r>
            <w:r w:rsidR="00E2535F">
              <w:rPr>
                <w:rFonts w:ascii="Century Gothic" w:hAnsi="Century Gothic"/>
              </w:rPr>
              <w:t>5760</w:t>
            </w:r>
          </w:p>
        </w:tc>
        <w:tc>
          <w:tcPr>
            <w:tcW w:w="5055" w:type="dxa"/>
          </w:tcPr>
          <w:p w14:paraId="49FB7C01" w14:textId="77777777" w:rsidR="004E641E" w:rsidRPr="00C475BA" w:rsidRDefault="004E641E" w:rsidP="004E641E">
            <w:pPr>
              <w:pStyle w:val="7Tablebodycopy"/>
              <w:rPr>
                <w:rFonts w:ascii="Century Gothic" w:hAnsi="Century Gothic"/>
              </w:rPr>
            </w:pPr>
          </w:p>
        </w:tc>
        <w:tc>
          <w:tcPr>
            <w:tcW w:w="2224" w:type="dxa"/>
            <w:shd w:val="clear" w:color="auto" w:fill="auto"/>
            <w:tcMar>
              <w:top w:w="113" w:type="dxa"/>
              <w:bottom w:w="113" w:type="dxa"/>
            </w:tcMar>
          </w:tcPr>
          <w:p w14:paraId="4FD108C1" w14:textId="77777777" w:rsidR="004E641E" w:rsidRPr="00C475BA" w:rsidRDefault="004E641E" w:rsidP="004E641E">
            <w:pPr>
              <w:pStyle w:val="7Tablebodycopy"/>
              <w:rPr>
                <w:rFonts w:ascii="Century Gothic" w:hAnsi="Century Gothic"/>
              </w:rPr>
            </w:pPr>
          </w:p>
        </w:tc>
      </w:tr>
    </w:tbl>
    <w:p w14:paraId="251E7EBC" w14:textId="77777777" w:rsidR="004E641E" w:rsidRPr="00C475BA" w:rsidRDefault="004E641E" w:rsidP="004E641E">
      <w:pPr>
        <w:pStyle w:val="3Bulletedcopyblue"/>
        <w:numPr>
          <w:ilvl w:val="0"/>
          <w:numId w:val="0"/>
        </w:numPr>
        <w:ind w:left="340" w:hanging="170"/>
        <w:rPr>
          <w:rFonts w:ascii="Century Gothic" w:hAnsi="Century Gothic"/>
          <w:highlight w:val="yellow"/>
          <w:lang w:val="en-GB"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601"/>
      </w:tblGrid>
      <w:tr w:rsidR="00AD347A" w:rsidRPr="00C475BA" w14:paraId="35817E2E" w14:textId="77777777" w:rsidTr="00AD347A">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D9D9D9"/>
            <w:tcMar>
              <w:top w:w="113" w:type="dxa"/>
              <w:bottom w:w="113" w:type="dxa"/>
            </w:tcMar>
          </w:tcPr>
          <w:p w14:paraId="1DF0AF4A" w14:textId="77777777" w:rsidR="00305626" w:rsidRPr="00C475BA" w:rsidRDefault="00AD347A" w:rsidP="00AD347A">
            <w:pPr>
              <w:rPr>
                <w:rFonts w:ascii="Century Gothic" w:hAnsi="Century Gothic"/>
                <w:b/>
                <w:bCs/>
              </w:rPr>
            </w:pPr>
            <w:r w:rsidRPr="00C475BA">
              <w:rPr>
                <w:rFonts w:ascii="Century Gothic" w:hAnsi="Century Gothic"/>
                <w:b/>
                <w:bCs/>
              </w:rPr>
              <w:t>S</w:t>
            </w:r>
            <w:r w:rsidR="00305626" w:rsidRPr="00C475BA">
              <w:rPr>
                <w:rFonts w:ascii="Century Gothic" w:hAnsi="Century Gothic"/>
                <w:b/>
                <w:bCs/>
              </w:rPr>
              <w:t xml:space="preserve">trategy </w:t>
            </w:r>
            <w:r w:rsidRPr="00C475BA">
              <w:rPr>
                <w:rFonts w:ascii="Century Gothic" w:hAnsi="Century Gothic"/>
                <w:b/>
                <w:bCs/>
              </w:rPr>
              <w:t>S</w:t>
            </w:r>
            <w:r w:rsidR="00305626" w:rsidRPr="00C475BA">
              <w:rPr>
                <w:rFonts w:ascii="Century Gothic" w:hAnsi="Century Gothic"/>
                <w:b/>
                <w:bCs/>
              </w:rPr>
              <w:t>tatement</w:t>
            </w:r>
          </w:p>
        </w:tc>
      </w:tr>
      <w:tr w:rsidR="00305626" w:rsidRPr="00C475BA" w14:paraId="06C6B6AE" w14:textId="77777777" w:rsidTr="006128D4">
        <w:trPr>
          <w:cantSplit/>
        </w:trPr>
        <w:tc>
          <w:tcPr>
            <w:tcW w:w="14601" w:type="dxa"/>
            <w:shd w:val="clear" w:color="auto" w:fill="auto"/>
            <w:tcMar>
              <w:top w:w="113" w:type="dxa"/>
              <w:bottom w:w="113" w:type="dxa"/>
            </w:tcMar>
          </w:tcPr>
          <w:p w14:paraId="4FCEBEB2" w14:textId="072D56C1" w:rsidR="002F2137" w:rsidRPr="00C475BA" w:rsidRDefault="002F2137" w:rsidP="00305626">
            <w:pPr>
              <w:pStyle w:val="7Tablebodycopy"/>
              <w:rPr>
                <w:rFonts w:ascii="Century Gothic" w:hAnsi="Century Gothic"/>
              </w:rPr>
            </w:pPr>
            <w:r w:rsidRPr="00C475BA">
              <w:rPr>
                <w:rFonts w:ascii="Century Gothic" w:hAnsi="Century Gothic"/>
              </w:rPr>
              <w:t xml:space="preserve">This strategy has been designed to address gaps in children’s learning caused by the COVID disruption. We have identified areas that evidence suggests will support children i.e. developing teacher knowledge and targeted support strategies. We have used the evidence to inform our decisions and ensuring that whilst this is a </w:t>
            </w:r>
            <w:r w:rsidR="00EC2499" w:rsidRPr="00C475BA">
              <w:rPr>
                <w:rFonts w:ascii="Century Gothic" w:hAnsi="Century Gothic"/>
              </w:rPr>
              <w:t>one-off</w:t>
            </w:r>
            <w:r w:rsidRPr="00C475BA">
              <w:rPr>
                <w:rFonts w:ascii="Century Gothic" w:hAnsi="Century Gothic"/>
              </w:rPr>
              <w:t xml:space="preserve"> grant, it will allow us to invest in some activities that will have a long term and sustainable impact beyond the life span of the funding window. We want to reduce the attainment gap between disadvantaged children and their peers and raise the attainment of all pupils, closing the gap between where they are likely to have been should the COVID disruption not have happened and where they are now.</w:t>
            </w:r>
          </w:p>
          <w:p w14:paraId="44297DAA" w14:textId="521E3FA1" w:rsidR="004E641E" w:rsidRPr="00C475BA" w:rsidRDefault="004E641E" w:rsidP="002F2137">
            <w:pPr>
              <w:pStyle w:val="7Tablecopybulleted"/>
              <w:numPr>
                <w:ilvl w:val="0"/>
                <w:numId w:val="0"/>
              </w:numPr>
              <w:rPr>
                <w:rFonts w:ascii="Century Gothic" w:hAnsi="Century Gothic"/>
                <w:highlight w:val="yellow"/>
              </w:rPr>
            </w:pPr>
          </w:p>
        </w:tc>
      </w:tr>
    </w:tbl>
    <w:p w14:paraId="105AF579" w14:textId="77777777" w:rsidR="00F84A6A" w:rsidRPr="00C475BA" w:rsidRDefault="00F84A6A" w:rsidP="007B7406">
      <w:pPr>
        <w:rPr>
          <w:rFonts w:ascii="Century Gothic" w:hAnsi="Century Gothic"/>
        </w:rPr>
      </w:pPr>
    </w:p>
    <w:p w14:paraId="0C87E8A5" w14:textId="77777777" w:rsidR="004E641E" w:rsidRPr="00C475BA" w:rsidRDefault="004E641E" w:rsidP="007773FB">
      <w:pPr>
        <w:pStyle w:val="2Subheadpink"/>
        <w:rPr>
          <w:rFonts w:ascii="Century Gothic" w:hAnsi="Century Gothic"/>
          <w:color w:val="auto"/>
        </w:rPr>
      </w:pPr>
    </w:p>
    <w:p w14:paraId="54F4B292" w14:textId="77777777" w:rsidR="004E641E" w:rsidRPr="00C475BA" w:rsidRDefault="004E641E" w:rsidP="007773FB">
      <w:pPr>
        <w:pStyle w:val="2Subheadpink"/>
        <w:rPr>
          <w:rFonts w:ascii="Century Gothic" w:hAnsi="Century Gothic"/>
          <w:color w:val="auto"/>
        </w:rPr>
      </w:pPr>
    </w:p>
    <w:p w14:paraId="4A736075" w14:textId="77777777" w:rsidR="004E641E" w:rsidRPr="00C475BA" w:rsidRDefault="004E641E" w:rsidP="007773FB">
      <w:pPr>
        <w:pStyle w:val="2Subheadpink"/>
        <w:rPr>
          <w:rFonts w:ascii="Century Gothic" w:hAnsi="Century Gothic"/>
          <w:color w:val="auto"/>
        </w:rPr>
      </w:pPr>
    </w:p>
    <w:p w14:paraId="53ACF1A8" w14:textId="2DE27438" w:rsidR="002F2137" w:rsidRPr="00C475BA" w:rsidRDefault="002F2137" w:rsidP="002F2137">
      <w:pPr>
        <w:pStyle w:val="1bodycopy"/>
        <w:rPr>
          <w:rFonts w:ascii="Century Gothic" w:hAnsi="Century Gothic"/>
        </w:rPr>
      </w:pPr>
    </w:p>
    <w:p w14:paraId="3A8D76FC" w14:textId="77777777" w:rsidR="007773FB" w:rsidRPr="00C475BA" w:rsidRDefault="006846AC" w:rsidP="007773FB">
      <w:pPr>
        <w:pStyle w:val="2Subheadpink"/>
        <w:rPr>
          <w:rFonts w:ascii="Century Gothic" w:hAnsi="Century Gothic"/>
          <w:color w:val="auto"/>
          <w:sz w:val="24"/>
          <w:szCs w:val="24"/>
        </w:rPr>
      </w:pPr>
      <w:r w:rsidRPr="00C475BA">
        <w:rPr>
          <w:rFonts w:ascii="Century Gothic" w:hAnsi="Century Gothic"/>
          <w:color w:val="auto"/>
          <w:sz w:val="24"/>
          <w:szCs w:val="24"/>
        </w:rPr>
        <w:t>B</w:t>
      </w:r>
      <w:r w:rsidR="007773FB" w:rsidRPr="00C475BA">
        <w:rPr>
          <w:rFonts w:ascii="Century Gothic" w:hAnsi="Century Gothic"/>
          <w:color w:val="auto"/>
          <w:sz w:val="24"/>
          <w:szCs w:val="24"/>
        </w:rPr>
        <w:t>arriers to learning</w:t>
      </w:r>
    </w:p>
    <w:p w14:paraId="291C9221" w14:textId="77777777" w:rsidR="004B319B" w:rsidRPr="00C475BA" w:rsidRDefault="004B319B" w:rsidP="004F0E04">
      <w:pPr>
        <w:pStyle w:val="3Bulletedcopyblue"/>
        <w:numPr>
          <w:ilvl w:val="0"/>
          <w:numId w:val="0"/>
        </w:numPr>
        <w:ind w:left="340" w:right="284"/>
        <w:rPr>
          <w:rFonts w:ascii="Century Gothic" w:hAnsi="Century Gothic"/>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3686"/>
      </w:tblGrid>
      <w:tr w:rsidR="00AD347A" w:rsidRPr="00C475BA" w14:paraId="6120A1A5" w14:textId="77777777" w:rsidTr="00AD347A">
        <w:trPr>
          <w:cantSplit/>
        </w:trPr>
        <w:tc>
          <w:tcPr>
            <w:tcW w:w="14653" w:type="dxa"/>
            <w:gridSpan w:val="2"/>
            <w:shd w:val="clear" w:color="auto" w:fill="D9D9D9"/>
            <w:tcMar>
              <w:top w:w="113" w:type="dxa"/>
              <w:bottom w:w="113" w:type="dxa"/>
            </w:tcMar>
          </w:tcPr>
          <w:p w14:paraId="481ED00F" w14:textId="77777777" w:rsidR="007773FB" w:rsidRPr="00C475BA" w:rsidRDefault="00AD347A" w:rsidP="00AD347A">
            <w:pPr>
              <w:rPr>
                <w:rFonts w:ascii="Century Gothic" w:hAnsi="Century Gothic"/>
                <w:b/>
                <w:bCs/>
              </w:rPr>
            </w:pPr>
            <w:r w:rsidRPr="00C475BA">
              <w:rPr>
                <w:rFonts w:ascii="Century Gothic" w:hAnsi="Century Gothic"/>
                <w:b/>
                <w:bCs/>
              </w:rPr>
              <w:t>B</w:t>
            </w:r>
            <w:r w:rsidR="007773FB" w:rsidRPr="00C475BA">
              <w:rPr>
                <w:rFonts w:ascii="Century Gothic" w:hAnsi="Century Gothic"/>
                <w:b/>
                <w:bCs/>
              </w:rPr>
              <w:t>arriers to future attainment</w:t>
            </w:r>
          </w:p>
        </w:tc>
      </w:tr>
      <w:tr w:rsidR="00AD347A" w:rsidRPr="00C475BA" w14:paraId="059CE922" w14:textId="77777777" w:rsidTr="00AD347A">
        <w:trPr>
          <w:cantSplit/>
        </w:trPr>
        <w:tc>
          <w:tcPr>
            <w:tcW w:w="14653" w:type="dxa"/>
            <w:gridSpan w:val="2"/>
            <w:shd w:val="clear" w:color="auto" w:fill="D9D9D9"/>
            <w:tcMar>
              <w:top w:w="113" w:type="dxa"/>
              <w:bottom w:w="113" w:type="dxa"/>
            </w:tcMar>
          </w:tcPr>
          <w:p w14:paraId="3BE61ABF" w14:textId="6AF380F8" w:rsidR="007773FB" w:rsidRPr="00C475BA" w:rsidRDefault="007773FB" w:rsidP="00AD347A">
            <w:pPr>
              <w:rPr>
                <w:rFonts w:ascii="Century Gothic" w:hAnsi="Century Gothic"/>
                <w:b/>
                <w:bCs/>
              </w:rPr>
            </w:pPr>
            <w:r w:rsidRPr="00C475BA">
              <w:rPr>
                <w:rFonts w:ascii="Century Gothic" w:hAnsi="Century Gothic"/>
                <w:b/>
                <w:bCs/>
              </w:rPr>
              <w:t>Academic barriers:</w:t>
            </w:r>
          </w:p>
        </w:tc>
      </w:tr>
      <w:tr w:rsidR="00AD347A" w:rsidRPr="00C475BA" w14:paraId="46785E21" w14:textId="77777777" w:rsidTr="00AD347A">
        <w:trPr>
          <w:cantSplit/>
        </w:trPr>
        <w:tc>
          <w:tcPr>
            <w:tcW w:w="967" w:type="dxa"/>
            <w:shd w:val="clear" w:color="auto" w:fill="auto"/>
            <w:tcMar>
              <w:top w:w="113" w:type="dxa"/>
              <w:bottom w:w="113" w:type="dxa"/>
            </w:tcMar>
          </w:tcPr>
          <w:p w14:paraId="6FA8655C" w14:textId="77777777" w:rsidR="007773FB" w:rsidRPr="00C475BA" w:rsidRDefault="007773FB" w:rsidP="00AD347A">
            <w:pPr>
              <w:rPr>
                <w:rFonts w:ascii="Century Gothic" w:hAnsi="Century Gothic"/>
                <w:highlight w:val="yellow"/>
              </w:rPr>
            </w:pPr>
            <w:r w:rsidRPr="00C475BA">
              <w:rPr>
                <w:rFonts w:ascii="Century Gothic" w:hAnsi="Century Gothic"/>
              </w:rPr>
              <w:t>A</w:t>
            </w:r>
          </w:p>
        </w:tc>
        <w:tc>
          <w:tcPr>
            <w:tcW w:w="13686" w:type="dxa"/>
            <w:shd w:val="clear" w:color="auto" w:fill="auto"/>
          </w:tcPr>
          <w:p w14:paraId="2A457A7A" w14:textId="7B892219" w:rsidR="007773FB" w:rsidRPr="00C475BA" w:rsidRDefault="008C3E6B" w:rsidP="00AD347A">
            <w:pPr>
              <w:rPr>
                <w:rFonts w:ascii="Century Gothic" w:hAnsi="Century Gothic"/>
              </w:rPr>
            </w:pPr>
            <w:r w:rsidRPr="00C475BA">
              <w:rPr>
                <w:rFonts w:ascii="Century Gothic" w:hAnsi="Century Gothic"/>
              </w:rPr>
              <w:t xml:space="preserve">Catching up on lost teaching time and practise of phonics </w:t>
            </w:r>
          </w:p>
        </w:tc>
      </w:tr>
      <w:tr w:rsidR="00AD347A" w:rsidRPr="00C475BA" w14:paraId="316E6CCA" w14:textId="77777777" w:rsidTr="00AD347A">
        <w:trPr>
          <w:cantSplit/>
        </w:trPr>
        <w:tc>
          <w:tcPr>
            <w:tcW w:w="967" w:type="dxa"/>
            <w:shd w:val="clear" w:color="auto" w:fill="auto"/>
            <w:tcMar>
              <w:top w:w="113" w:type="dxa"/>
              <w:bottom w:w="113" w:type="dxa"/>
            </w:tcMar>
          </w:tcPr>
          <w:p w14:paraId="12C00097" w14:textId="77777777" w:rsidR="007773FB" w:rsidRPr="00C475BA" w:rsidRDefault="007773FB" w:rsidP="00AD347A">
            <w:pPr>
              <w:rPr>
                <w:rFonts w:ascii="Century Gothic" w:hAnsi="Century Gothic"/>
              </w:rPr>
            </w:pPr>
            <w:r w:rsidRPr="00C475BA">
              <w:rPr>
                <w:rFonts w:ascii="Century Gothic" w:hAnsi="Century Gothic"/>
              </w:rPr>
              <w:t>B</w:t>
            </w:r>
          </w:p>
        </w:tc>
        <w:tc>
          <w:tcPr>
            <w:tcW w:w="13686" w:type="dxa"/>
            <w:shd w:val="clear" w:color="auto" w:fill="auto"/>
            <w:tcMar>
              <w:top w:w="113" w:type="dxa"/>
              <w:bottom w:w="113" w:type="dxa"/>
            </w:tcMar>
          </w:tcPr>
          <w:p w14:paraId="6AE36A35" w14:textId="686718ED" w:rsidR="007773FB" w:rsidRPr="00C475BA" w:rsidRDefault="008C3E6B" w:rsidP="00914A76">
            <w:pPr>
              <w:rPr>
                <w:rFonts w:ascii="Century Gothic" w:hAnsi="Century Gothic"/>
              </w:rPr>
            </w:pPr>
            <w:r w:rsidRPr="00C475BA">
              <w:rPr>
                <w:rFonts w:ascii="Century Gothic" w:hAnsi="Century Gothic"/>
              </w:rPr>
              <w:t xml:space="preserve">Gaps that have developed in children’s knowledge in </w:t>
            </w:r>
            <w:r w:rsidR="003A39A0" w:rsidRPr="00C475BA">
              <w:rPr>
                <w:rFonts w:ascii="Century Gothic" w:hAnsi="Century Gothic"/>
              </w:rPr>
              <w:t>English</w:t>
            </w:r>
            <w:r w:rsidR="00914A76">
              <w:rPr>
                <w:rFonts w:ascii="Century Gothic" w:hAnsi="Century Gothic"/>
              </w:rPr>
              <w:t xml:space="preserve">, </w:t>
            </w:r>
            <w:r w:rsidR="00E2535F">
              <w:rPr>
                <w:rFonts w:ascii="Century Gothic" w:hAnsi="Century Gothic"/>
              </w:rPr>
              <w:t xml:space="preserve">but specifically </w:t>
            </w:r>
            <w:r w:rsidRPr="00C475BA">
              <w:rPr>
                <w:rFonts w:ascii="Century Gothic" w:hAnsi="Century Gothic"/>
              </w:rPr>
              <w:t>Maths</w:t>
            </w:r>
          </w:p>
        </w:tc>
      </w:tr>
    </w:tbl>
    <w:p w14:paraId="45C82486" w14:textId="77777777" w:rsidR="0059709B" w:rsidRPr="00C475BA" w:rsidRDefault="0059709B">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3686"/>
      </w:tblGrid>
      <w:tr w:rsidR="00AD347A" w:rsidRPr="00C475BA" w14:paraId="426876E2" w14:textId="77777777" w:rsidTr="243FB462">
        <w:trPr>
          <w:cantSplit/>
        </w:trPr>
        <w:tc>
          <w:tcPr>
            <w:tcW w:w="14653" w:type="dxa"/>
            <w:gridSpan w:val="2"/>
            <w:shd w:val="clear" w:color="auto" w:fill="D9D9D9" w:themeFill="background1" w:themeFillShade="D9"/>
            <w:tcMar>
              <w:top w:w="113" w:type="dxa"/>
              <w:bottom w:w="113" w:type="dxa"/>
            </w:tcMar>
          </w:tcPr>
          <w:p w14:paraId="2A2E0452" w14:textId="77777777" w:rsidR="00AD347A" w:rsidRPr="00C475BA" w:rsidRDefault="00AD347A" w:rsidP="00AD347A">
            <w:pPr>
              <w:rPr>
                <w:rFonts w:ascii="Century Gothic" w:hAnsi="Century Gothic"/>
                <w:b/>
                <w:bCs/>
              </w:rPr>
            </w:pPr>
            <w:r w:rsidRPr="00C475BA">
              <w:rPr>
                <w:rFonts w:ascii="Century Gothic" w:hAnsi="Century Gothic"/>
                <w:b/>
                <w:bCs/>
              </w:rPr>
              <w:t>Additional barriers</w:t>
            </w:r>
          </w:p>
        </w:tc>
      </w:tr>
      <w:tr w:rsidR="00AD347A" w:rsidRPr="00C475BA" w14:paraId="39D1B511" w14:textId="77777777" w:rsidTr="243FB462">
        <w:trPr>
          <w:cantSplit/>
        </w:trPr>
        <w:tc>
          <w:tcPr>
            <w:tcW w:w="14653" w:type="dxa"/>
            <w:gridSpan w:val="2"/>
            <w:shd w:val="clear" w:color="auto" w:fill="D9D9D9" w:themeFill="background1" w:themeFillShade="D9"/>
            <w:tcMar>
              <w:top w:w="113" w:type="dxa"/>
              <w:bottom w:w="113" w:type="dxa"/>
            </w:tcMar>
          </w:tcPr>
          <w:p w14:paraId="3CA5A5AD" w14:textId="1AA7A188" w:rsidR="00AD347A" w:rsidRPr="00C475BA" w:rsidRDefault="007773FB" w:rsidP="00AD347A">
            <w:pPr>
              <w:rPr>
                <w:rFonts w:ascii="Century Gothic" w:hAnsi="Century Gothic"/>
              </w:rPr>
            </w:pPr>
            <w:r w:rsidRPr="00C475BA">
              <w:rPr>
                <w:rFonts w:ascii="Century Gothic" w:hAnsi="Century Gothic"/>
                <w:b/>
                <w:bCs/>
              </w:rPr>
              <w:t>External barriers</w:t>
            </w:r>
            <w:r w:rsidR="00D86FD0" w:rsidRPr="00C475BA">
              <w:rPr>
                <w:rFonts w:ascii="Century Gothic" w:hAnsi="Century Gothic"/>
                <w:b/>
                <w:bCs/>
              </w:rPr>
              <w:t>:</w:t>
            </w:r>
            <w:r w:rsidRPr="00C475BA">
              <w:rPr>
                <w:rFonts w:ascii="Century Gothic" w:hAnsi="Century Gothic"/>
              </w:rPr>
              <w:t xml:space="preserve"> </w:t>
            </w:r>
          </w:p>
        </w:tc>
      </w:tr>
      <w:tr w:rsidR="00AD347A" w:rsidRPr="00C475BA" w14:paraId="1B75A38C" w14:textId="77777777" w:rsidTr="243FB462">
        <w:trPr>
          <w:cantSplit/>
        </w:trPr>
        <w:tc>
          <w:tcPr>
            <w:tcW w:w="967" w:type="dxa"/>
            <w:shd w:val="clear" w:color="auto" w:fill="auto"/>
            <w:tcMar>
              <w:top w:w="113" w:type="dxa"/>
              <w:bottom w:w="113" w:type="dxa"/>
            </w:tcMar>
          </w:tcPr>
          <w:p w14:paraId="3D1C1123" w14:textId="77777777" w:rsidR="007773FB" w:rsidRPr="00C475BA" w:rsidRDefault="002A028C" w:rsidP="00AD347A">
            <w:pPr>
              <w:rPr>
                <w:rFonts w:ascii="Century Gothic" w:hAnsi="Century Gothic"/>
              </w:rPr>
            </w:pPr>
            <w:r w:rsidRPr="00C475BA">
              <w:rPr>
                <w:rFonts w:ascii="Century Gothic" w:hAnsi="Century Gothic"/>
              </w:rPr>
              <w:t>D</w:t>
            </w:r>
          </w:p>
        </w:tc>
        <w:tc>
          <w:tcPr>
            <w:tcW w:w="13686" w:type="dxa"/>
            <w:shd w:val="clear" w:color="auto" w:fill="auto"/>
            <w:tcMar>
              <w:top w:w="113" w:type="dxa"/>
              <w:bottom w:w="113" w:type="dxa"/>
            </w:tcMar>
          </w:tcPr>
          <w:p w14:paraId="78CA3BE3" w14:textId="07BABEB0" w:rsidR="00AD347A" w:rsidRPr="00C475BA" w:rsidRDefault="008C3E6B" w:rsidP="00AD347A">
            <w:pPr>
              <w:rPr>
                <w:rFonts w:ascii="Century Gothic" w:hAnsi="Century Gothic"/>
              </w:rPr>
            </w:pPr>
            <w:r w:rsidRPr="243FB462">
              <w:rPr>
                <w:rFonts w:ascii="Century Gothic" w:hAnsi="Century Gothic"/>
              </w:rPr>
              <w:t xml:space="preserve">Busy family life means that focused and targeted </w:t>
            </w:r>
            <w:r w:rsidR="002F2137" w:rsidRPr="243FB462">
              <w:rPr>
                <w:rFonts w:ascii="Century Gothic" w:hAnsi="Century Gothic"/>
              </w:rPr>
              <w:t xml:space="preserve">home learning is key. Providing </w:t>
            </w:r>
            <w:r w:rsidR="36E85C1C" w:rsidRPr="243FB462">
              <w:rPr>
                <w:rFonts w:ascii="Century Gothic" w:hAnsi="Century Gothic"/>
              </w:rPr>
              <w:t>resources</w:t>
            </w:r>
            <w:r w:rsidR="537DF070" w:rsidRPr="243FB462">
              <w:rPr>
                <w:rFonts w:ascii="Century Gothic" w:hAnsi="Century Gothic"/>
              </w:rPr>
              <w:t xml:space="preserve"> for parents to understand the methods used in school </w:t>
            </w:r>
            <w:r w:rsidR="002F2137" w:rsidRPr="243FB462">
              <w:rPr>
                <w:rFonts w:ascii="Century Gothic" w:hAnsi="Century Gothic"/>
              </w:rPr>
              <w:t>to support interaction</w:t>
            </w:r>
            <w:r w:rsidR="76B0C958" w:rsidRPr="243FB462">
              <w:rPr>
                <w:rFonts w:ascii="Century Gothic" w:hAnsi="Century Gothic"/>
              </w:rPr>
              <w:t>s</w:t>
            </w:r>
            <w:r w:rsidR="002F2137" w:rsidRPr="243FB462">
              <w:rPr>
                <w:rFonts w:ascii="Century Gothic" w:hAnsi="Century Gothic"/>
              </w:rPr>
              <w:t xml:space="preserve"> with their child’s learning and progression.</w:t>
            </w:r>
            <w:r w:rsidRPr="243FB462">
              <w:rPr>
                <w:rFonts w:ascii="Century Gothic" w:hAnsi="Century Gothic"/>
              </w:rPr>
              <w:t xml:space="preserve"> </w:t>
            </w:r>
          </w:p>
          <w:p w14:paraId="01685AF2" w14:textId="77777777" w:rsidR="00AD347A" w:rsidRPr="00C475BA" w:rsidRDefault="00AD347A" w:rsidP="00AD347A">
            <w:pPr>
              <w:rPr>
                <w:rFonts w:ascii="Century Gothic" w:hAnsi="Century Gothic"/>
              </w:rPr>
            </w:pPr>
          </w:p>
        </w:tc>
      </w:tr>
      <w:tr w:rsidR="00AD347A" w:rsidRPr="00C475BA" w14:paraId="6C0D84D8" w14:textId="77777777" w:rsidTr="243FB462">
        <w:trPr>
          <w:cantSplit/>
        </w:trPr>
        <w:tc>
          <w:tcPr>
            <w:tcW w:w="967" w:type="dxa"/>
            <w:shd w:val="clear" w:color="auto" w:fill="auto"/>
            <w:tcMar>
              <w:top w:w="113" w:type="dxa"/>
              <w:bottom w:w="113" w:type="dxa"/>
            </w:tcMar>
          </w:tcPr>
          <w:p w14:paraId="0B0FFD18" w14:textId="77777777" w:rsidR="007773FB" w:rsidRPr="00C475BA" w:rsidRDefault="002A028C" w:rsidP="00AD347A">
            <w:pPr>
              <w:rPr>
                <w:rFonts w:ascii="Century Gothic" w:hAnsi="Century Gothic"/>
              </w:rPr>
            </w:pPr>
            <w:r w:rsidRPr="00C475BA">
              <w:rPr>
                <w:rFonts w:ascii="Century Gothic" w:hAnsi="Century Gothic"/>
              </w:rPr>
              <w:t>E</w:t>
            </w:r>
          </w:p>
        </w:tc>
        <w:tc>
          <w:tcPr>
            <w:tcW w:w="13686" w:type="dxa"/>
            <w:shd w:val="clear" w:color="auto" w:fill="auto"/>
            <w:tcMar>
              <w:top w:w="113" w:type="dxa"/>
              <w:bottom w:w="113" w:type="dxa"/>
            </w:tcMar>
          </w:tcPr>
          <w:p w14:paraId="7F6D286A" w14:textId="500E38B0" w:rsidR="007773FB" w:rsidRPr="00C475BA" w:rsidRDefault="002F2137" w:rsidP="00AD347A">
            <w:pPr>
              <w:rPr>
                <w:rFonts w:ascii="Century Gothic" w:hAnsi="Century Gothic"/>
              </w:rPr>
            </w:pPr>
            <w:r w:rsidRPr="243FB462">
              <w:rPr>
                <w:rFonts w:ascii="Century Gothic" w:hAnsi="Century Gothic"/>
              </w:rPr>
              <w:t>The continuation of bubbles closing due to COVID and supporting children to continue their learning from home in a remot</w:t>
            </w:r>
            <w:r w:rsidR="24C17B12" w:rsidRPr="243FB462">
              <w:rPr>
                <w:rFonts w:ascii="Century Gothic" w:hAnsi="Century Gothic"/>
              </w:rPr>
              <w:t>ely.</w:t>
            </w:r>
          </w:p>
          <w:p w14:paraId="19B476E3" w14:textId="77777777" w:rsidR="00AD347A" w:rsidRPr="00C475BA" w:rsidRDefault="00AD347A" w:rsidP="00AD347A">
            <w:pPr>
              <w:rPr>
                <w:rFonts w:ascii="Century Gothic" w:hAnsi="Century Gothic"/>
              </w:rPr>
            </w:pPr>
          </w:p>
          <w:p w14:paraId="3B41B4D0" w14:textId="77777777" w:rsidR="00AD347A" w:rsidRPr="00C475BA" w:rsidRDefault="00AD347A" w:rsidP="00AD347A">
            <w:pPr>
              <w:rPr>
                <w:rFonts w:ascii="Century Gothic" w:hAnsi="Century Gothic"/>
              </w:rPr>
            </w:pPr>
          </w:p>
          <w:p w14:paraId="62C25AF0" w14:textId="77777777" w:rsidR="00AD347A" w:rsidRPr="00C475BA" w:rsidRDefault="00AD347A" w:rsidP="00AD347A">
            <w:pPr>
              <w:rPr>
                <w:rFonts w:ascii="Century Gothic" w:hAnsi="Century Gothic"/>
              </w:rPr>
            </w:pPr>
          </w:p>
          <w:p w14:paraId="55279F0C" w14:textId="77777777" w:rsidR="00AD347A" w:rsidRPr="00C475BA" w:rsidRDefault="00AD347A" w:rsidP="00AD347A">
            <w:pPr>
              <w:rPr>
                <w:rFonts w:ascii="Century Gothic" w:hAnsi="Century Gothic"/>
              </w:rPr>
            </w:pPr>
          </w:p>
        </w:tc>
      </w:tr>
    </w:tbl>
    <w:p w14:paraId="5D1706E3" w14:textId="77777777" w:rsidR="0059709B" w:rsidRPr="00C475BA" w:rsidRDefault="0059709B">
      <w:pPr>
        <w:rPr>
          <w:rFonts w:ascii="Century Gothic" w:hAnsi="Century Gothic"/>
        </w:rPr>
      </w:pPr>
    </w:p>
    <w:p w14:paraId="1653EBFD" w14:textId="77777777" w:rsidR="002F2137" w:rsidRPr="00C475BA" w:rsidRDefault="002F2137" w:rsidP="007773FB">
      <w:pPr>
        <w:pStyle w:val="2Subheadpink"/>
        <w:rPr>
          <w:rFonts w:ascii="Century Gothic" w:hAnsi="Century Gothic"/>
          <w:color w:val="auto"/>
          <w:sz w:val="24"/>
          <w:szCs w:val="24"/>
        </w:rPr>
      </w:pPr>
    </w:p>
    <w:p w14:paraId="53D874FC" w14:textId="77777777" w:rsidR="002F2137" w:rsidRPr="00C475BA" w:rsidRDefault="002F2137" w:rsidP="007773FB">
      <w:pPr>
        <w:pStyle w:val="2Subheadpink"/>
        <w:rPr>
          <w:rFonts w:ascii="Century Gothic" w:hAnsi="Century Gothic"/>
          <w:color w:val="auto"/>
          <w:sz w:val="24"/>
          <w:szCs w:val="24"/>
        </w:rPr>
      </w:pPr>
    </w:p>
    <w:p w14:paraId="316EC197" w14:textId="77777777" w:rsidR="002F2137" w:rsidRPr="00C475BA" w:rsidRDefault="002F2137" w:rsidP="007773FB">
      <w:pPr>
        <w:pStyle w:val="2Subheadpink"/>
        <w:rPr>
          <w:rFonts w:ascii="Century Gothic" w:hAnsi="Century Gothic"/>
          <w:color w:val="auto"/>
          <w:sz w:val="24"/>
          <w:szCs w:val="24"/>
        </w:rPr>
      </w:pPr>
    </w:p>
    <w:p w14:paraId="49BA90C4" w14:textId="0A927420" w:rsidR="002F2137" w:rsidRPr="00C475BA" w:rsidRDefault="002F2137" w:rsidP="007773FB">
      <w:pPr>
        <w:pStyle w:val="2Subheadpink"/>
        <w:rPr>
          <w:rFonts w:ascii="Century Gothic" w:hAnsi="Century Gothic"/>
          <w:color w:val="auto"/>
          <w:sz w:val="24"/>
          <w:szCs w:val="24"/>
        </w:rPr>
      </w:pPr>
    </w:p>
    <w:p w14:paraId="57700B8E" w14:textId="48B10285" w:rsidR="007773FB" w:rsidRPr="00C475BA" w:rsidRDefault="007773FB" w:rsidP="007773FB">
      <w:pPr>
        <w:pStyle w:val="2Subheadpink"/>
        <w:rPr>
          <w:rFonts w:ascii="Century Gothic" w:hAnsi="Century Gothic"/>
          <w:color w:val="auto"/>
          <w:sz w:val="24"/>
          <w:szCs w:val="24"/>
        </w:rPr>
      </w:pPr>
      <w:r w:rsidRPr="00C475BA">
        <w:rPr>
          <w:rFonts w:ascii="Century Gothic" w:hAnsi="Century Gothic"/>
          <w:color w:val="auto"/>
          <w:sz w:val="24"/>
          <w:szCs w:val="24"/>
        </w:rPr>
        <w:t>Planned expenditure</w:t>
      </w:r>
      <w:r w:rsidR="00A006CF" w:rsidRPr="00C475BA">
        <w:rPr>
          <w:rFonts w:ascii="Century Gothic" w:hAnsi="Century Gothic"/>
          <w:color w:val="auto"/>
          <w:sz w:val="24"/>
          <w:szCs w:val="24"/>
        </w:rPr>
        <w:t xml:space="preserve"> for </w:t>
      </w:r>
      <w:r w:rsidR="00117765" w:rsidRPr="00C475BA">
        <w:rPr>
          <w:rFonts w:ascii="Century Gothic" w:hAnsi="Century Gothic"/>
          <w:color w:val="auto"/>
          <w:sz w:val="24"/>
          <w:szCs w:val="24"/>
        </w:rPr>
        <w:t>current</w:t>
      </w:r>
      <w:r w:rsidR="00A006CF" w:rsidRPr="00C475BA">
        <w:rPr>
          <w:rFonts w:ascii="Century Gothic" w:hAnsi="Century Gothic"/>
          <w:color w:val="auto"/>
          <w:sz w:val="24"/>
          <w:szCs w:val="24"/>
        </w:rPr>
        <w:t xml:space="preserve"> academic year</w:t>
      </w:r>
    </w:p>
    <w:p w14:paraId="00781F4E" w14:textId="2210E578" w:rsidR="00BB4DD5" w:rsidRPr="00C475BA" w:rsidRDefault="00BB4DD5" w:rsidP="007773FB">
      <w:pPr>
        <w:pStyle w:val="1bodycopy"/>
        <w:rPr>
          <w:rFonts w:ascii="Century Gothic" w:hAnsi="Century Gothic"/>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160"/>
        <w:gridCol w:w="3510"/>
        <w:gridCol w:w="3510"/>
        <w:gridCol w:w="1620"/>
        <w:gridCol w:w="1530"/>
      </w:tblGrid>
      <w:tr w:rsidR="00AD347A" w:rsidRPr="00C475BA" w14:paraId="2348A7B3" w14:textId="77777777" w:rsidTr="1CF9056B">
        <w:trPr>
          <w:cantSplit/>
        </w:trPr>
        <w:tc>
          <w:tcPr>
            <w:tcW w:w="14647" w:type="dxa"/>
            <w:gridSpan w:val="6"/>
            <w:shd w:val="clear" w:color="auto" w:fill="D9D9D9" w:themeFill="background1" w:themeFillShade="D9"/>
            <w:tcMar>
              <w:top w:w="113" w:type="dxa"/>
              <w:bottom w:w="113" w:type="dxa"/>
            </w:tcMar>
          </w:tcPr>
          <w:p w14:paraId="77055988" w14:textId="77777777" w:rsidR="007773FB" w:rsidRPr="00C475BA" w:rsidRDefault="007773FB" w:rsidP="007773FB">
            <w:pPr>
              <w:pStyle w:val="7Tablebodycopy"/>
              <w:rPr>
                <w:rFonts w:ascii="Century Gothic" w:hAnsi="Century Gothic"/>
                <w:b/>
                <w:bCs/>
              </w:rPr>
            </w:pPr>
            <w:r w:rsidRPr="00C475BA">
              <w:rPr>
                <w:rFonts w:ascii="Century Gothic" w:hAnsi="Century Gothic"/>
                <w:b/>
                <w:bCs/>
              </w:rPr>
              <w:t>Targeted support</w:t>
            </w:r>
          </w:p>
        </w:tc>
      </w:tr>
      <w:tr w:rsidR="00AD347A" w:rsidRPr="00C475BA" w14:paraId="2011E082" w14:textId="77777777" w:rsidTr="1CF9056B">
        <w:trPr>
          <w:cantSplit/>
        </w:trPr>
        <w:tc>
          <w:tcPr>
            <w:tcW w:w="2317" w:type="dxa"/>
            <w:shd w:val="clear" w:color="auto" w:fill="D9D9D9" w:themeFill="background1" w:themeFillShade="D9"/>
            <w:tcMar>
              <w:top w:w="113" w:type="dxa"/>
              <w:bottom w:w="113" w:type="dxa"/>
            </w:tcMar>
          </w:tcPr>
          <w:p w14:paraId="35564A15" w14:textId="77777777" w:rsidR="007773FB" w:rsidRPr="00C475BA" w:rsidRDefault="007773FB" w:rsidP="007773FB">
            <w:pPr>
              <w:pStyle w:val="7Tablebodycopy"/>
              <w:rPr>
                <w:rFonts w:ascii="Century Gothic" w:hAnsi="Century Gothic"/>
                <w:b/>
                <w:bCs/>
              </w:rPr>
            </w:pPr>
            <w:r w:rsidRPr="00C475BA">
              <w:rPr>
                <w:rFonts w:ascii="Century Gothic" w:hAnsi="Century Gothic"/>
                <w:b/>
                <w:bCs/>
              </w:rPr>
              <w:t>Action</w:t>
            </w:r>
          </w:p>
        </w:tc>
        <w:tc>
          <w:tcPr>
            <w:tcW w:w="2160" w:type="dxa"/>
            <w:shd w:val="clear" w:color="auto" w:fill="D9D9D9" w:themeFill="background1" w:themeFillShade="D9"/>
            <w:tcMar>
              <w:top w:w="113" w:type="dxa"/>
              <w:bottom w:w="113" w:type="dxa"/>
            </w:tcMar>
          </w:tcPr>
          <w:p w14:paraId="4A64C91E" w14:textId="77777777" w:rsidR="007773FB" w:rsidRPr="00C475BA" w:rsidRDefault="00D86FD0" w:rsidP="007773FB">
            <w:pPr>
              <w:pStyle w:val="7Tablebodycopy"/>
              <w:rPr>
                <w:rFonts w:ascii="Century Gothic" w:hAnsi="Century Gothic"/>
                <w:b/>
                <w:bCs/>
              </w:rPr>
            </w:pPr>
            <w:r w:rsidRPr="00C475BA">
              <w:rPr>
                <w:rFonts w:ascii="Century Gothic" w:hAnsi="Century Gothic"/>
                <w:b/>
                <w:bCs/>
              </w:rPr>
              <w:t>Intended outcome and success criteria</w:t>
            </w:r>
          </w:p>
        </w:tc>
        <w:tc>
          <w:tcPr>
            <w:tcW w:w="3510" w:type="dxa"/>
            <w:shd w:val="clear" w:color="auto" w:fill="D9D9D9" w:themeFill="background1" w:themeFillShade="D9"/>
          </w:tcPr>
          <w:p w14:paraId="1784544D" w14:textId="77777777" w:rsidR="007773FB" w:rsidRPr="00C475BA" w:rsidRDefault="00AD347A" w:rsidP="007773FB">
            <w:pPr>
              <w:pStyle w:val="7Tablebodybulleted"/>
              <w:numPr>
                <w:ilvl w:val="0"/>
                <w:numId w:val="0"/>
              </w:numPr>
              <w:rPr>
                <w:rFonts w:ascii="Century Gothic" w:hAnsi="Century Gothic"/>
                <w:b/>
                <w:bCs/>
              </w:rPr>
            </w:pPr>
            <w:r w:rsidRPr="00C475BA">
              <w:rPr>
                <w:rFonts w:ascii="Century Gothic" w:hAnsi="Century Gothic"/>
                <w:b/>
                <w:bCs/>
              </w:rPr>
              <w:t>E</w:t>
            </w:r>
            <w:r w:rsidR="007773FB" w:rsidRPr="00C475BA">
              <w:rPr>
                <w:rFonts w:ascii="Century Gothic" w:hAnsi="Century Gothic"/>
                <w:b/>
                <w:bCs/>
              </w:rPr>
              <w:t>vidence and rationale for this choice?</w:t>
            </w:r>
          </w:p>
        </w:tc>
        <w:tc>
          <w:tcPr>
            <w:tcW w:w="3510" w:type="dxa"/>
            <w:shd w:val="clear" w:color="auto" w:fill="D9D9D9" w:themeFill="background1" w:themeFillShade="D9"/>
          </w:tcPr>
          <w:p w14:paraId="4AA2BDA0" w14:textId="77777777" w:rsidR="007773FB" w:rsidRPr="00C475BA" w:rsidRDefault="00AD347A" w:rsidP="004D7731">
            <w:pPr>
              <w:pStyle w:val="7Tablebodybulleted"/>
              <w:numPr>
                <w:ilvl w:val="0"/>
                <w:numId w:val="0"/>
              </w:numPr>
              <w:ind w:right="27"/>
              <w:rPr>
                <w:rFonts w:ascii="Century Gothic" w:hAnsi="Century Gothic"/>
                <w:b/>
                <w:bCs/>
              </w:rPr>
            </w:pPr>
            <w:r w:rsidRPr="00C475BA">
              <w:rPr>
                <w:rFonts w:ascii="Century Gothic" w:hAnsi="Century Gothic"/>
                <w:b/>
                <w:bCs/>
              </w:rPr>
              <w:t>Evaluation</w:t>
            </w:r>
          </w:p>
        </w:tc>
        <w:tc>
          <w:tcPr>
            <w:tcW w:w="1620" w:type="dxa"/>
            <w:shd w:val="clear" w:color="auto" w:fill="D9D9D9" w:themeFill="background1" w:themeFillShade="D9"/>
          </w:tcPr>
          <w:p w14:paraId="6051910B" w14:textId="77777777" w:rsidR="007773FB" w:rsidRPr="00C475BA" w:rsidRDefault="007773FB" w:rsidP="007773FB">
            <w:pPr>
              <w:pStyle w:val="7Tablebodybulleted"/>
              <w:numPr>
                <w:ilvl w:val="0"/>
                <w:numId w:val="0"/>
              </w:numPr>
              <w:rPr>
                <w:rFonts w:ascii="Century Gothic" w:hAnsi="Century Gothic"/>
                <w:b/>
                <w:bCs/>
              </w:rPr>
            </w:pPr>
            <w:r w:rsidRPr="00C475BA">
              <w:rPr>
                <w:rFonts w:ascii="Century Gothic" w:hAnsi="Century Gothic"/>
                <w:b/>
                <w:bCs/>
              </w:rPr>
              <w:t>Staff lead</w:t>
            </w:r>
          </w:p>
        </w:tc>
        <w:tc>
          <w:tcPr>
            <w:tcW w:w="1530" w:type="dxa"/>
            <w:shd w:val="clear" w:color="auto" w:fill="D9D9D9" w:themeFill="background1" w:themeFillShade="D9"/>
          </w:tcPr>
          <w:p w14:paraId="34363EBE" w14:textId="77777777" w:rsidR="007773FB" w:rsidRPr="00C475BA" w:rsidRDefault="00AD347A" w:rsidP="007773FB">
            <w:pPr>
              <w:pStyle w:val="7Tablebodybulleted"/>
              <w:numPr>
                <w:ilvl w:val="0"/>
                <w:numId w:val="0"/>
              </w:numPr>
              <w:ind w:right="-18"/>
              <w:rPr>
                <w:rFonts w:ascii="Century Gothic" w:hAnsi="Century Gothic"/>
                <w:b/>
                <w:bCs/>
              </w:rPr>
            </w:pPr>
            <w:r w:rsidRPr="00C475BA">
              <w:rPr>
                <w:rFonts w:ascii="Century Gothic" w:hAnsi="Century Gothic"/>
                <w:b/>
                <w:bCs/>
              </w:rPr>
              <w:t>Review date</w:t>
            </w:r>
          </w:p>
        </w:tc>
      </w:tr>
      <w:tr w:rsidR="004862D9" w:rsidRPr="00C475BA" w14:paraId="391210B1" w14:textId="77777777" w:rsidTr="1CF9056B">
        <w:trPr>
          <w:cantSplit/>
        </w:trPr>
        <w:tc>
          <w:tcPr>
            <w:tcW w:w="2317" w:type="dxa"/>
            <w:shd w:val="clear" w:color="auto" w:fill="auto"/>
            <w:tcMar>
              <w:top w:w="113" w:type="dxa"/>
              <w:bottom w:w="113" w:type="dxa"/>
            </w:tcMar>
          </w:tcPr>
          <w:p w14:paraId="3485FB04" w14:textId="7B392CA0" w:rsidR="004862D9" w:rsidRPr="00C475BA" w:rsidRDefault="004862D9" w:rsidP="004862D9">
            <w:pPr>
              <w:pStyle w:val="7Tablebodycopy"/>
              <w:rPr>
                <w:rFonts w:ascii="Century Gothic" w:hAnsi="Century Gothic"/>
              </w:rPr>
            </w:pPr>
            <w:r w:rsidRPr="00C475BA">
              <w:rPr>
                <w:rFonts w:ascii="Century Gothic" w:hAnsi="Century Gothic"/>
              </w:rPr>
              <w:t xml:space="preserve">Buy PIXL to supplement the curriculum </w:t>
            </w:r>
            <w:r w:rsidR="00914A76">
              <w:rPr>
                <w:rFonts w:ascii="Century Gothic" w:hAnsi="Century Gothic"/>
              </w:rPr>
              <w:t>and use to assess gaps in learning.</w:t>
            </w:r>
          </w:p>
          <w:p w14:paraId="12FBA9DD" w14:textId="6AADD69B" w:rsidR="008C3E6B" w:rsidRPr="00C475BA" w:rsidRDefault="008C3E6B" w:rsidP="008C3E6B">
            <w:pPr>
              <w:pStyle w:val="7Tablebodycopy"/>
              <w:rPr>
                <w:rFonts w:ascii="Century Gothic" w:hAnsi="Century Gothic"/>
              </w:rPr>
            </w:pPr>
            <w:r w:rsidRPr="00C475BA">
              <w:rPr>
                <w:rFonts w:ascii="Century Gothic" w:hAnsi="Century Gothic"/>
              </w:rPr>
              <w:t>£</w:t>
            </w:r>
            <w:r w:rsidR="00E2535F">
              <w:rPr>
                <w:rFonts w:ascii="Century Gothic" w:hAnsi="Century Gothic"/>
              </w:rPr>
              <w:t>1985</w:t>
            </w:r>
            <w:r w:rsidRPr="00C475BA">
              <w:rPr>
                <w:rFonts w:ascii="Century Gothic" w:hAnsi="Century Gothic"/>
              </w:rPr>
              <w:t xml:space="preserve"> (PIXL)</w:t>
            </w:r>
          </w:p>
          <w:p w14:paraId="68DE9AC3" w14:textId="0A853D1B" w:rsidR="008C3E6B" w:rsidRPr="00C475BA" w:rsidRDefault="008C3E6B" w:rsidP="004862D9">
            <w:pPr>
              <w:pStyle w:val="7Tablebodycopy"/>
              <w:rPr>
                <w:rFonts w:ascii="Century Gothic" w:hAnsi="Century Gothic"/>
              </w:rPr>
            </w:pPr>
          </w:p>
        </w:tc>
        <w:tc>
          <w:tcPr>
            <w:tcW w:w="2160" w:type="dxa"/>
            <w:shd w:val="clear" w:color="auto" w:fill="auto"/>
            <w:tcMar>
              <w:top w:w="113" w:type="dxa"/>
              <w:bottom w:w="113" w:type="dxa"/>
            </w:tcMar>
          </w:tcPr>
          <w:p w14:paraId="2C31FF1C" w14:textId="4F9D33DC" w:rsidR="004862D9" w:rsidRPr="00C475BA" w:rsidRDefault="004862D9" w:rsidP="004862D9">
            <w:pPr>
              <w:pStyle w:val="7Tablebodycopy"/>
              <w:rPr>
                <w:rFonts w:ascii="Century Gothic" w:hAnsi="Century Gothic"/>
              </w:rPr>
            </w:pPr>
            <w:r w:rsidRPr="00C475BA">
              <w:rPr>
                <w:rFonts w:ascii="Century Gothic" w:hAnsi="Century Gothic"/>
              </w:rPr>
              <w:t>That identified children with Gaps in their learning will be able to make progress back to at least where they were prior to the COVID lockdown.</w:t>
            </w:r>
          </w:p>
          <w:p w14:paraId="5CDB51A4" w14:textId="15ECA235" w:rsidR="00C83E86" w:rsidRPr="00C475BA" w:rsidRDefault="00C83E86" w:rsidP="004862D9">
            <w:pPr>
              <w:pStyle w:val="7Tablebodycopy"/>
              <w:rPr>
                <w:rFonts w:ascii="Century Gothic" w:hAnsi="Century Gothic"/>
              </w:rPr>
            </w:pPr>
            <w:r w:rsidRPr="00C475BA">
              <w:rPr>
                <w:rFonts w:ascii="Century Gothic" w:hAnsi="Century Gothic"/>
              </w:rPr>
              <w:t>Provide resources which can be accessed by staff whether working in school or remotely to support intervention strategies.</w:t>
            </w:r>
          </w:p>
          <w:p w14:paraId="3AAA35BD" w14:textId="77777777" w:rsidR="00B37BB8" w:rsidRPr="00C475BA" w:rsidRDefault="00B37BB8" w:rsidP="004862D9">
            <w:pPr>
              <w:pStyle w:val="7Tablebodycopy"/>
              <w:rPr>
                <w:rFonts w:ascii="Century Gothic" w:hAnsi="Century Gothic"/>
                <w:b/>
              </w:rPr>
            </w:pPr>
            <w:r w:rsidRPr="00C475BA">
              <w:rPr>
                <w:rFonts w:ascii="Century Gothic" w:hAnsi="Century Gothic"/>
                <w:b/>
              </w:rPr>
              <w:t>SC</w:t>
            </w:r>
          </w:p>
          <w:p w14:paraId="3EE42C3E" w14:textId="2CB83E90" w:rsidR="00B37BB8" w:rsidRPr="00C475BA" w:rsidRDefault="00B37BB8" w:rsidP="004862D9">
            <w:pPr>
              <w:pStyle w:val="7Tablebodycopy"/>
              <w:rPr>
                <w:rFonts w:ascii="Century Gothic" w:hAnsi="Century Gothic"/>
              </w:rPr>
            </w:pPr>
            <w:r w:rsidRPr="00C475BA">
              <w:rPr>
                <w:rFonts w:ascii="Century Gothic" w:hAnsi="Century Gothic"/>
              </w:rPr>
              <w:t xml:space="preserve">We will see a reduction in the % of children who had fallen behind where we would have expected them to be (Using </w:t>
            </w:r>
            <w:r w:rsidR="003A39A0" w:rsidRPr="00C475BA">
              <w:rPr>
                <w:rFonts w:ascii="Century Gothic" w:hAnsi="Century Gothic"/>
              </w:rPr>
              <w:t>Autumn</w:t>
            </w:r>
            <w:r w:rsidRPr="00C475BA">
              <w:rPr>
                <w:rFonts w:ascii="Century Gothic" w:hAnsi="Century Gothic"/>
              </w:rPr>
              <w:t xml:space="preserve"> 2020 baseline data)</w:t>
            </w:r>
          </w:p>
        </w:tc>
        <w:tc>
          <w:tcPr>
            <w:tcW w:w="3510" w:type="dxa"/>
          </w:tcPr>
          <w:p w14:paraId="3CA8CF43" w14:textId="77777777" w:rsidR="004862D9" w:rsidRPr="00C475BA" w:rsidRDefault="004862D9" w:rsidP="004862D9">
            <w:pPr>
              <w:pStyle w:val="7Tablebodycopy"/>
              <w:rPr>
                <w:rFonts w:ascii="Century Gothic" w:hAnsi="Century Gothic"/>
              </w:rPr>
            </w:pPr>
            <w:r w:rsidRPr="00C475BA">
              <w:rPr>
                <w:rFonts w:ascii="Century Gothic" w:hAnsi="Century Gothic"/>
              </w:rPr>
              <w:t>Teaching assistants are most effective when they have high quality and targeted resources to use with specific children (EEF effective use of TAs)</w:t>
            </w:r>
          </w:p>
          <w:p w14:paraId="0A2156D1" w14:textId="77777777" w:rsidR="00332278" w:rsidRPr="00C475BA" w:rsidRDefault="00332278" w:rsidP="004862D9">
            <w:pPr>
              <w:pStyle w:val="7Tablebodycopy"/>
              <w:rPr>
                <w:rFonts w:ascii="Century Gothic" w:hAnsi="Century Gothic"/>
              </w:rPr>
            </w:pPr>
          </w:p>
          <w:p w14:paraId="23704814" w14:textId="77777777" w:rsidR="00332278" w:rsidRPr="00C475BA" w:rsidRDefault="00332278" w:rsidP="004862D9">
            <w:pPr>
              <w:pStyle w:val="7Tablebodycopy"/>
              <w:rPr>
                <w:rFonts w:ascii="Century Gothic" w:hAnsi="Century Gothic"/>
              </w:rPr>
            </w:pPr>
            <w:r w:rsidRPr="00C475BA">
              <w:rPr>
                <w:rFonts w:ascii="Century Gothic" w:hAnsi="Century Gothic"/>
              </w:rPr>
              <w:t>EEF guidance – Working with Parents to Support Children’s Learning – section 2 (providing practical strategies to support learning at home)</w:t>
            </w:r>
          </w:p>
          <w:p w14:paraId="373FDE2D" w14:textId="77777777" w:rsidR="003A39A0" w:rsidRPr="00C475BA" w:rsidRDefault="003A39A0" w:rsidP="004862D9">
            <w:pPr>
              <w:pStyle w:val="7Tablebodycopy"/>
              <w:rPr>
                <w:rFonts w:ascii="Century Gothic" w:hAnsi="Century Gothic"/>
              </w:rPr>
            </w:pPr>
          </w:p>
          <w:p w14:paraId="1B02916D" w14:textId="77777777" w:rsidR="00C83E86" w:rsidRPr="00C475BA" w:rsidRDefault="00C83E86" w:rsidP="004862D9">
            <w:pPr>
              <w:pStyle w:val="7Tablebodycopy"/>
              <w:rPr>
                <w:rFonts w:ascii="Century Gothic" w:hAnsi="Century Gothic"/>
              </w:rPr>
            </w:pPr>
            <w:r w:rsidRPr="00C475BA">
              <w:rPr>
                <w:rFonts w:ascii="Century Gothic" w:hAnsi="Century Gothic"/>
              </w:rPr>
              <w:t xml:space="preserve">EEF Evidence Summary – Using Digital Technology to improve learning </w:t>
            </w:r>
          </w:p>
          <w:p w14:paraId="52821499" w14:textId="158CA4DB" w:rsidR="003A39A0" w:rsidRPr="00C475BA" w:rsidRDefault="00C83E86" w:rsidP="004862D9">
            <w:pPr>
              <w:pStyle w:val="7Tablebodycopy"/>
              <w:rPr>
                <w:rFonts w:ascii="Century Gothic" w:hAnsi="Century Gothic"/>
              </w:rPr>
            </w:pPr>
            <w:r w:rsidRPr="00C475BA">
              <w:rPr>
                <w:rFonts w:ascii="Century Gothic" w:hAnsi="Century Gothic"/>
              </w:rPr>
              <w:t>Recommendation 4 - Technology has the potential to help teachers explain and model new concepts and ideas. However, how explanations and models are conveyed is less important than their clarity, relevance and accessibility to pupils.</w:t>
            </w:r>
          </w:p>
        </w:tc>
        <w:tc>
          <w:tcPr>
            <w:tcW w:w="3510" w:type="dxa"/>
          </w:tcPr>
          <w:p w14:paraId="635D15C2" w14:textId="77777777" w:rsidR="004862D9" w:rsidRPr="00C475BA" w:rsidRDefault="004862D9" w:rsidP="004862D9">
            <w:pPr>
              <w:pStyle w:val="7Tablebodycopy"/>
              <w:rPr>
                <w:rFonts w:ascii="Century Gothic" w:hAnsi="Century Gothic"/>
              </w:rPr>
            </w:pPr>
          </w:p>
        </w:tc>
        <w:tc>
          <w:tcPr>
            <w:tcW w:w="1620" w:type="dxa"/>
          </w:tcPr>
          <w:p w14:paraId="0518AE10" w14:textId="772B975D" w:rsidR="004862D9" w:rsidRPr="00C475BA" w:rsidRDefault="00E2535F" w:rsidP="004862D9">
            <w:pPr>
              <w:pStyle w:val="7Tablebodycopy"/>
              <w:rPr>
                <w:rFonts w:ascii="Century Gothic" w:hAnsi="Century Gothic"/>
              </w:rPr>
            </w:pPr>
            <w:r>
              <w:rPr>
                <w:rFonts w:ascii="Century Gothic" w:hAnsi="Century Gothic"/>
              </w:rPr>
              <w:t>HR/ZP</w:t>
            </w:r>
          </w:p>
        </w:tc>
        <w:tc>
          <w:tcPr>
            <w:tcW w:w="1530" w:type="dxa"/>
          </w:tcPr>
          <w:p w14:paraId="1EDA5596" w14:textId="77777777" w:rsidR="004862D9" w:rsidRPr="00C475BA" w:rsidRDefault="004862D9" w:rsidP="004862D9">
            <w:pPr>
              <w:pStyle w:val="7Tablebodycopy"/>
              <w:rPr>
                <w:rFonts w:ascii="Century Gothic" w:hAnsi="Century Gothic"/>
              </w:rPr>
            </w:pPr>
          </w:p>
        </w:tc>
      </w:tr>
      <w:tr w:rsidR="004862D9" w:rsidRPr="00C475BA" w14:paraId="0D7278FC" w14:textId="77777777" w:rsidTr="1CF9056B">
        <w:trPr>
          <w:cantSplit/>
        </w:trPr>
        <w:tc>
          <w:tcPr>
            <w:tcW w:w="2317" w:type="dxa"/>
            <w:shd w:val="clear" w:color="auto" w:fill="auto"/>
            <w:tcMar>
              <w:top w:w="113" w:type="dxa"/>
              <w:bottom w:w="113" w:type="dxa"/>
            </w:tcMar>
          </w:tcPr>
          <w:p w14:paraId="60CEA38B" w14:textId="5F8DFEAD" w:rsidR="004862D9" w:rsidRPr="00C475BA" w:rsidRDefault="00BE6E90" w:rsidP="004862D9">
            <w:pPr>
              <w:pStyle w:val="7Tablebodycopy"/>
              <w:rPr>
                <w:rFonts w:ascii="Century Gothic" w:hAnsi="Century Gothic"/>
              </w:rPr>
            </w:pPr>
            <w:r w:rsidRPr="00C475BA">
              <w:rPr>
                <w:rFonts w:ascii="Century Gothic" w:hAnsi="Century Gothic"/>
              </w:rPr>
              <w:t>Provide additional catch up session</w:t>
            </w:r>
            <w:r w:rsidR="00914A76">
              <w:rPr>
                <w:rFonts w:ascii="Century Gothic" w:hAnsi="Century Gothic"/>
              </w:rPr>
              <w:t>s</w:t>
            </w:r>
            <w:r w:rsidRPr="00C475BA">
              <w:rPr>
                <w:rFonts w:ascii="Century Gothic" w:hAnsi="Century Gothic"/>
              </w:rPr>
              <w:t xml:space="preserve"> in Maths</w:t>
            </w:r>
            <w:r w:rsidR="00EC2059">
              <w:rPr>
                <w:rFonts w:ascii="Century Gothic" w:hAnsi="Century Gothic"/>
              </w:rPr>
              <w:t xml:space="preserve"> and phonics,</w:t>
            </w:r>
            <w:r w:rsidRPr="00C475BA">
              <w:rPr>
                <w:rFonts w:ascii="Century Gothic" w:hAnsi="Century Gothic"/>
              </w:rPr>
              <w:t xml:space="preserve"> focused on misconceptions and identified gaps</w:t>
            </w:r>
            <w:r w:rsidR="00E2535F">
              <w:rPr>
                <w:rFonts w:ascii="Century Gothic" w:hAnsi="Century Gothic"/>
              </w:rPr>
              <w:t xml:space="preserve"> (predominantly </w:t>
            </w:r>
            <w:r w:rsidR="00EC2059">
              <w:rPr>
                <w:rFonts w:ascii="Century Gothic" w:hAnsi="Century Gothic"/>
              </w:rPr>
              <w:t xml:space="preserve">Maths </w:t>
            </w:r>
            <w:r w:rsidR="00E2535F">
              <w:rPr>
                <w:rFonts w:ascii="Century Gothic" w:hAnsi="Century Gothic"/>
              </w:rPr>
              <w:t>in Class 3)</w:t>
            </w:r>
          </w:p>
          <w:p w14:paraId="487CD924" w14:textId="4CF9517A" w:rsidR="00EF30FA" w:rsidRPr="00C475BA" w:rsidRDefault="00EF30FA" w:rsidP="004862D9">
            <w:pPr>
              <w:pStyle w:val="7Tablebodycopy"/>
              <w:rPr>
                <w:rFonts w:ascii="Century Gothic" w:hAnsi="Century Gothic"/>
              </w:rPr>
            </w:pPr>
            <w:r w:rsidRPr="00C475BA">
              <w:rPr>
                <w:rFonts w:ascii="Century Gothic" w:hAnsi="Century Gothic"/>
              </w:rPr>
              <w:t>Staff identified –</w:t>
            </w:r>
            <w:r w:rsidR="00E2535F">
              <w:rPr>
                <w:rFonts w:ascii="Century Gothic" w:hAnsi="Century Gothic"/>
              </w:rPr>
              <w:t>ZP</w:t>
            </w:r>
            <w:r w:rsidR="00277D90">
              <w:rPr>
                <w:rFonts w:ascii="Century Gothic" w:hAnsi="Century Gothic"/>
              </w:rPr>
              <w:t>/</w:t>
            </w:r>
            <w:bookmarkStart w:id="0" w:name="_GoBack"/>
            <w:bookmarkEnd w:id="0"/>
            <w:r w:rsidR="00914A76">
              <w:rPr>
                <w:rFonts w:ascii="Century Gothic" w:hAnsi="Century Gothic"/>
              </w:rPr>
              <w:t>VB</w:t>
            </w:r>
          </w:p>
          <w:p w14:paraId="681189B1" w14:textId="428A5CDA" w:rsidR="00EF30FA" w:rsidRPr="00C475BA" w:rsidRDefault="00EF30FA" w:rsidP="004862D9">
            <w:pPr>
              <w:pStyle w:val="7Tablebodycopy"/>
              <w:rPr>
                <w:rFonts w:ascii="Century Gothic" w:hAnsi="Century Gothic"/>
              </w:rPr>
            </w:pPr>
            <w:r w:rsidRPr="00C475BA">
              <w:rPr>
                <w:rFonts w:ascii="Century Gothic" w:hAnsi="Century Gothic"/>
              </w:rPr>
              <w:t>£</w:t>
            </w:r>
            <w:r w:rsidR="00914A76">
              <w:rPr>
                <w:rFonts w:ascii="Century Gothic" w:hAnsi="Century Gothic"/>
              </w:rPr>
              <w:t>3775</w:t>
            </w:r>
          </w:p>
          <w:p w14:paraId="05172ECC" w14:textId="12F51FB8" w:rsidR="008C3E6B" w:rsidRPr="00C475BA" w:rsidRDefault="008C3E6B" w:rsidP="00BD769B">
            <w:pPr>
              <w:pStyle w:val="7Tablebodycopy"/>
              <w:rPr>
                <w:rFonts w:ascii="Century Gothic" w:hAnsi="Century Gothic"/>
              </w:rPr>
            </w:pPr>
          </w:p>
        </w:tc>
        <w:tc>
          <w:tcPr>
            <w:tcW w:w="2160" w:type="dxa"/>
            <w:shd w:val="clear" w:color="auto" w:fill="auto"/>
            <w:tcMar>
              <w:top w:w="113" w:type="dxa"/>
              <w:bottom w:w="113" w:type="dxa"/>
            </w:tcMar>
          </w:tcPr>
          <w:p w14:paraId="656AE913" w14:textId="0C0109A4" w:rsidR="004862D9" w:rsidRPr="00C475BA" w:rsidRDefault="00BE6E90" w:rsidP="004862D9">
            <w:pPr>
              <w:pStyle w:val="7Tablebodycopy"/>
              <w:rPr>
                <w:rFonts w:ascii="Century Gothic" w:hAnsi="Century Gothic"/>
              </w:rPr>
            </w:pPr>
            <w:r w:rsidRPr="00C475BA">
              <w:rPr>
                <w:rFonts w:ascii="Century Gothic" w:hAnsi="Century Gothic"/>
              </w:rPr>
              <w:t>Children to have a deeper understanding and the focused teaching of identified gaps</w:t>
            </w:r>
          </w:p>
        </w:tc>
        <w:tc>
          <w:tcPr>
            <w:tcW w:w="3510" w:type="dxa"/>
          </w:tcPr>
          <w:p w14:paraId="19CD00CA" w14:textId="77777777" w:rsidR="004862D9" w:rsidRPr="00C475BA" w:rsidRDefault="00BE6E90" w:rsidP="004862D9">
            <w:pPr>
              <w:pStyle w:val="7Tablebodycopy"/>
              <w:rPr>
                <w:rFonts w:ascii="Century Gothic" w:hAnsi="Century Gothic"/>
              </w:rPr>
            </w:pPr>
            <w:r w:rsidRPr="00C475BA">
              <w:rPr>
                <w:rFonts w:ascii="Century Gothic" w:hAnsi="Century Gothic"/>
              </w:rPr>
              <w:t>Teaching assistants are most effective when they have high quality and targeted resources to use with specific children (EEF effective use of TAs)</w:t>
            </w:r>
          </w:p>
          <w:p w14:paraId="4E920F8D" w14:textId="77777777" w:rsidR="00BE6E90" w:rsidRDefault="00BE6E90" w:rsidP="004862D9">
            <w:pPr>
              <w:pStyle w:val="7Tablebodycopy"/>
              <w:rPr>
                <w:rFonts w:ascii="Century Gothic" w:hAnsi="Century Gothic"/>
              </w:rPr>
            </w:pPr>
            <w:r w:rsidRPr="00C475BA">
              <w:rPr>
                <w:rFonts w:ascii="Century Gothic" w:hAnsi="Century Gothic"/>
              </w:rPr>
              <w:t>EEF Improving Mathematics in Key Stage 2 and 3 document</w:t>
            </w:r>
          </w:p>
          <w:p w14:paraId="517C7B1B" w14:textId="53A9B726" w:rsidR="00914A76" w:rsidRPr="00C475BA" w:rsidRDefault="00914A76" w:rsidP="004862D9">
            <w:pPr>
              <w:pStyle w:val="7Tablebodycopy"/>
              <w:rPr>
                <w:rFonts w:ascii="Century Gothic" w:hAnsi="Century Gothic"/>
              </w:rPr>
            </w:pPr>
            <w:r>
              <w:rPr>
                <w:rFonts w:ascii="Century Gothic" w:hAnsi="Century Gothic"/>
              </w:rPr>
              <w:t>Using ZP to deliver high quality targeted interventions in Class 3 will provide quality first teaching to smaller groups in Maths.</w:t>
            </w:r>
          </w:p>
        </w:tc>
        <w:tc>
          <w:tcPr>
            <w:tcW w:w="3510" w:type="dxa"/>
          </w:tcPr>
          <w:p w14:paraId="2F8BA8A8" w14:textId="77777777" w:rsidR="004862D9" w:rsidRPr="00C475BA" w:rsidRDefault="004862D9" w:rsidP="004862D9">
            <w:pPr>
              <w:pStyle w:val="7Tablebodycopy"/>
              <w:rPr>
                <w:rFonts w:ascii="Century Gothic" w:hAnsi="Century Gothic"/>
              </w:rPr>
            </w:pPr>
          </w:p>
        </w:tc>
        <w:tc>
          <w:tcPr>
            <w:tcW w:w="1620" w:type="dxa"/>
          </w:tcPr>
          <w:p w14:paraId="1BD1F373" w14:textId="7DFAF073" w:rsidR="004862D9" w:rsidRPr="00C475BA" w:rsidRDefault="00E2535F" w:rsidP="004862D9">
            <w:pPr>
              <w:pStyle w:val="7Tablebodycopy"/>
              <w:rPr>
                <w:rFonts w:ascii="Century Gothic" w:hAnsi="Century Gothic"/>
              </w:rPr>
            </w:pPr>
            <w:r>
              <w:rPr>
                <w:rFonts w:ascii="Century Gothic" w:hAnsi="Century Gothic"/>
              </w:rPr>
              <w:t>HR</w:t>
            </w:r>
          </w:p>
        </w:tc>
        <w:tc>
          <w:tcPr>
            <w:tcW w:w="1530" w:type="dxa"/>
          </w:tcPr>
          <w:p w14:paraId="60754204" w14:textId="77777777" w:rsidR="004862D9" w:rsidRPr="00C475BA" w:rsidRDefault="004862D9" w:rsidP="004862D9">
            <w:pPr>
              <w:pStyle w:val="7Tablebodycopy"/>
              <w:rPr>
                <w:rFonts w:ascii="Century Gothic" w:hAnsi="Century Gothic"/>
              </w:rPr>
            </w:pPr>
          </w:p>
        </w:tc>
      </w:tr>
      <w:tr w:rsidR="004862D9" w:rsidRPr="00C475BA" w14:paraId="1A1DD5C6" w14:textId="77777777" w:rsidTr="1CF9056B">
        <w:trPr>
          <w:cantSplit/>
        </w:trPr>
        <w:tc>
          <w:tcPr>
            <w:tcW w:w="13117" w:type="dxa"/>
            <w:gridSpan w:val="5"/>
            <w:shd w:val="clear" w:color="auto" w:fill="auto"/>
            <w:tcMar>
              <w:top w:w="113" w:type="dxa"/>
              <w:bottom w:w="113" w:type="dxa"/>
            </w:tcMar>
          </w:tcPr>
          <w:p w14:paraId="7B9813BD" w14:textId="77777777" w:rsidR="004862D9" w:rsidRPr="00C475BA" w:rsidRDefault="004862D9" w:rsidP="004862D9">
            <w:pPr>
              <w:pStyle w:val="7Tablebodycopy"/>
              <w:jc w:val="right"/>
              <w:rPr>
                <w:rFonts w:ascii="Century Gothic" w:hAnsi="Century Gothic"/>
              </w:rPr>
            </w:pPr>
            <w:r w:rsidRPr="00C475BA">
              <w:rPr>
                <w:rFonts w:ascii="Century Gothic" w:hAnsi="Century Gothic"/>
              </w:rPr>
              <w:t>Total budgeted cost:</w:t>
            </w:r>
          </w:p>
        </w:tc>
        <w:tc>
          <w:tcPr>
            <w:tcW w:w="1530" w:type="dxa"/>
          </w:tcPr>
          <w:p w14:paraId="143A42B5" w14:textId="24312153" w:rsidR="00BE6E90" w:rsidRPr="00C475BA" w:rsidRDefault="0052456D" w:rsidP="00914A76">
            <w:pPr>
              <w:pStyle w:val="7Tablebodycopy"/>
              <w:rPr>
                <w:rFonts w:ascii="Century Gothic" w:hAnsi="Century Gothic"/>
              </w:rPr>
            </w:pPr>
            <w:r w:rsidRPr="5F51613D">
              <w:rPr>
                <w:rFonts w:ascii="Century Gothic" w:hAnsi="Century Gothic"/>
              </w:rPr>
              <w:t>Total = £</w:t>
            </w:r>
            <w:r w:rsidR="00914A76">
              <w:rPr>
                <w:rFonts w:ascii="Century Gothic" w:hAnsi="Century Gothic"/>
              </w:rPr>
              <w:t>5760</w:t>
            </w:r>
          </w:p>
        </w:tc>
      </w:tr>
    </w:tbl>
    <w:p w14:paraId="78C79B9D" w14:textId="77777777" w:rsidR="007773FB" w:rsidRPr="00C475BA" w:rsidRDefault="007773FB" w:rsidP="007773FB">
      <w:pPr>
        <w:pStyle w:val="1bodycopy"/>
        <w:rPr>
          <w:rFonts w:ascii="Century Gothic" w:hAnsi="Century Gothic"/>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653"/>
      </w:tblGrid>
      <w:tr w:rsidR="00AD347A" w:rsidRPr="00C475BA" w14:paraId="388D0AED" w14:textId="77777777" w:rsidTr="00AD347A">
        <w:trPr>
          <w:cantSplit/>
          <w:tblHeader/>
        </w:trPr>
        <w:tc>
          <w:tcPr>
            <w:tcW w:w="14879" w:type="dxa"/>
            <w:tcBorders>
              <w:top w:val="single" w:sz="4" w:space="0" w:color="12263F"/>
              <w:left w:val="single" w:sz="4" w:space="0" w:color="12263F"/>
              <w:bottom w:val="single" w:sz="4" w:space="0" w:color="12263F"/>
              <w:right w:val="single" w:sz="4" w:space="0" w:color="12263F"/>
              <w:tl2br w:val="nil"/>
              <w:tr2bl w:val="nil"/>
            </w:tcBorders>
            <w:shd w:val="clear" w:color="auto" w:fill="D9D9D9"/>
            <w:tcMar>
              <w:top w:w="113" w:type="dxa"/>
              <w:bottom w:w="113" w:type="dxa"/>
            </w:tcMar>
          </w:tcPr>
          <w:p w14:paraId="1CA9C8E7" w14:textId="77777777" w:rsidR="007773FB" w:rsidRPr="00C475BA" w:rsidRDefault="00AD347A" w:rsidP="00AD347A">
            <w:pPr>
              <w:rPr>
                <w:rFonts w:ascii="Century Gothic" w:hAnsi="Century Gothic"/>
                <w:b/>
                <w:bCs/>
              </w:rPr>
            </w:pPr>
            <w:r w:rsidRPr="00C475BA">
              <w:rPr>
                <w:rFonts w:ascii="Century Gothic" w:hAnsi="Century Gothic"/>
                <w:b/>
                <w:bCs/>
              </w:rPr>
              <w:t>A</w:t>
            </w:r>
            <w:r w:rsidR="007773FB" w:rsidRPr="00C475BA">
              <w:rPr>
                <w:rFonts w:ascii="Century Gothic" w:hAnsi="Century Gothic"/>
                <w:b/>
                <w:bCs/>
              </w:rPr>
              <w:t>dditional information</w:t>
            </w:r>
          </w:p>
        </w:tc>
      </w:tr>
      <w:tr w:rsidR="00AD347A" w:rsidRPr="00C475BA" w14:paraId="0607FA51" w14:textId="77777777" w:rsidTr="000F7F20">
        <w:trPr>
          <w:cantSplit/>
        </w:trPr>
        <w:tc>
          <w:tcPr>
            <w:tcW w:w="14879" w:type="dxa"/>
            <w:shd w:val="clear" w:color="auto" w:fill="auto"/>
            <w:tcMar>
              <w:top w:w="113" w:type="dxa"/>
              <w:bottom w:w="113" w:type="dxa"/>
            </w:tcMar>
          </w:tcPr>
          <w:p w14:paraId="64C7AE2F" w14:textId="35F3DF63" w:rsidR="00240812" w:rsidRPr="00C475BA" w:rsidRDefault="00240812" w:rsidP="00AD347A">
            <w:pPr>
              <w:rPr>
                <w:rFonts w:ascii="Century Gothic" w:hAnsi="Century Gothic"/>
              </w:rPr>
            </w:pPr>
            <w:r w:rsidRPr="00C475BA">
              <w:rPr>
                <w:rFonts w:ascii="Century Gothic" w:hAnsi="Century Gothic"/>
              </w:rPr>
              <w:t>EEF Guidance reports</w:t>
            </w:r>
          </w:p>
          <w:p w14:paraId="67CDAFF4" w14:textId="14340E07" w:rsidR="00240812" w:rsidRPr="00C475BA" w:rsidRDefault="00277D90" w:rsidP="00AD347A">
            <w:pPr>
              <w:rPr>
                <w:rFonts w:ascii="Century Gothic" w:hAnsi="Century Gothic"/>
              </w:rPr>
            </w:pPr>
            <w:hyperlink r:id="rId12" w:history="1">
              <w:r w:rsidR="00240812" w:rsidRPr="00C475BA">
                <w:rPr>
                  <w:rStyle w:val="Hyperlink"/>
                  <w:rFonts w:ascii="Century Gothic" w:hAnsi="Century Gothic"/>
                </w:rPr>
                <w:t>https://educationendowmentfoundation.org.uk/public/files/Publications/Covid-19_Resources/Covid-19_support_guide_for_schools.pdf</w:t>
              </w:r>
            </w:hyperlink>
          </w:p>
          <w:p w14:paraId="371432DB" w14:textId="28405D0D" w:rsidR="00240812" w:rsidRPr="00C475BA" w:rsidRDefault="00277D90" w:rsidP="00AD347A">
            <w:pPr>
              <w:rPr>
                <w:rFonts w:ascii="Century Gothic" w:hAnsi="Century Gothic"/>
              </w:rPr>
            </w:pPr>
            <w:hyperlink r:id="rId13" w:history="1">
              <w:r w:rsidR="00240812" w:rsidRPr="00C475BA">
                <w:rPr>
                  <w:rStyle w:val="Hyperlink"/>
                  <w:rFonts w:ascii="Century Gothic" w:hAnsi="Century Gothic"/>
                </w:rPr>
                <w:t>https://educationendowmentfoundation.org.uk/school-themes/parental-engagement/</w:t>
              </w:r>
            </w:hyperlink>
          </w:p>
          <w:p w14:paraId="080665C4" w14:textId="2A7E5BE4" w:rsidR="00240812" w:rsidRPr="00C475BA" w:rsidRDefault="00277D90" w:rsidP="00AD347A">
            <w:pPr>
              <w:rPr>
                <w:rFonts w:ascii="Century Gothic" w:hAnsi="Century Gothic"/>
              </w:rPr>
            </w:pPr>
            <w:hyperlink r:id="rId14" w:history="1">
              <w:r w:rsidR="00240812" w:rsidRPr="00C475BA">
                <w:rPr>
                  <w:rStyle w:val="Hyperlink"/>
                  <w:rFonts w:ascii="Century Gothic" w:hAnsi="Century Gothic"/>
                </w:rPr>
                <w:t>https://educationendowmentfoundation.org.uk/tools/guidance-reports/early-maths/</w:t>
              </w:r>
            </w:hyperlink>
          </w:p>
          <w:p w14:paraId="5A965B86" w14:textId="04B5B48C" w:rsidR="00240812" w:rsidRPr="00C475BA" w:rsidRDefault="00277D90" w:rsidP="00AD347A">
            <w:pPr>
              <w:rPr>
                <w:rFonts w:ascii="Century Gothic" w:hAnsi="Century Gothic"/>
              </w:rPr>
            </w:pPr>
            <w:hyperlink r:id="rId15" w:history="1">
              <w:r w:rsidR="00240812" w:rsidRPr="00C475BA">
                <w:rPr>
                  <w:rStyle w:val="Hyperlink"/>
                  <w:rFonts w:ascii="Century Gothic" w:hAnsi="Century Gothic"/>
                </w:rPr>
                <w:t>https://educationendowmentfoundation.org.uk/tools/gui</w:t>
              </w:r>
              <w:r w:rsidR="00240812" w:rsidRPr="00C475BA">
                <w:rPr>
                  <w:rStyle w:val="Hyperlink"/>
                  <w:rFonts w:ascii="Century Gothic" w:hAnsi="Century Gothic"/>
                </w:rPr>
                <w:t>d</w:t>
              </w:r>
              <w:r w:rsidR="00240812" w:rsidRPr="00C475BA">
                <w:rPr>
                  <w:rStyle w:val="Hyperlink"/>
                  <w:rFonts w:ascii="Century Gothic" w:hAnsi="Century Gothic"/>
                </w:rPr>
                <w:t>ance-reports/maths-ks-2-3/</w:t>
              </w:r>
            </w:hyperlink>
          </w:p>
          <w:p w14:paraId="55CEF427" w14:textId="660DFE3A" w:rsidR="00240812" w:rsidRPr="00C475BA" w:rsidRDefault="00277D90" w:rsidP="00AD347A">
            <w:pPr>
              <w:rPr>
                <w:rFonts w:ascii="Century Gothic" w:hAnsi="Century Gothic"/>
              </w:rPr>
            </w:pPr>
            <w:hyperlink r:id="rId16" w:history="1">
              <w:r w:rsidR="00240812" w:rsidRPr="00C475BA">
                <w:rPr>
                  <w:rStyle w:val="Hyperlink"/>
                  <w:rFonts w:ascii="Century Gothic" w:hAnsi="Century Gothic"/>
                </w:rPr>
                <w:t>https://educationendowmentfoundation.org.uk/tools/guidance-reports/making-best-use-of-teaching-assistants/</w:t>
              </w:r>
            </w:hyperlink>
          </w:p>
          <w:p w14:paraId="25C80622" w14:textId="77777777" w:rsidR="00240812" w:rsidRPr="00C475BA" w:rsidRDefault="00240812" w:rsidP="00AD347A">
            <w:pPr>
              <w:rPr>
                <w:rFonts w:ascii="Century Gothic" w:hAnsi="Century Gothic"/>
              </w:rPr>
            </w:pPr>
          </w:p>
          <w:p w14:paraId="48B238CD" w14:textId="77777777" w:rsidR="00240812" w:rsidRPr="00C475BA" w:rsidRDefault="00240812" w:rsidP="00AD347A">
            <w:pPr>
              <w:rPr>
                <w:rFonts w:ascii="Century Gothic" w:hAnsi="Century Gothic"/>
              </w:rPr>
            </w:pPr>
          </w:p>
          <w:p w14:paraId="2527E1A3" w14:textId="2E435618" w:rsidR="007773FB" w:rsidRPr="00C475BA" w:rsidRDefault="007773FB" w:rsidP="00AD347A">
            <w:pPr>
              <w:rPr>
                <w:rFonts w:ascii="Century Gothic" w:hAnsi="Century Gothic"/>
                <w:highlight w:val="yellow"/>
              </w:rPr>
            </w:pPr>
          </w:p>
        </w:tc>
      </w:tr>
    </w:tbl>
    <w:p w14:paraId="7B1AAF91" w14:textId="77777777" w:rsidR="007773FB" w:rsidRPr="00C475BA" w:rsidRDefault="007773FB" w:rsidP="007773FB">
      <w:pPr>
        <w:pStyle w:val="1bodycopy"/>
        <w:rPr>
          <w:rFonts w:ascii="Century Gothic" w:hAnsi="Century Gothic"/>
        </w:rPr>
      </w:pPr>
    </w:p>
    <w:sectPr w:rsidR="007773FB" w:rsidRPr="00C475BA" w:rsidSect="00AD347A">
      <w:headerReference w:type="even" r:id="rId17"/>
      <w:headerReference w:type="default" r:id="rId18"/>
      <w:footerReference w:type="default" r:id="rId19"/>
      <w:headerReference w:type="first" r:id="rId20"/>
      <w:footerReference w:type="first" r:id="rId21"/>
      <w:pgSz w:w="16840" w:h="11900" w:orient="landscape"/>
      <w:pgMar w:top="992" w:right="992" w:bottom="0"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DBEB" w14:textId="77777777" w:rsidR="00CF5FBE" w:rsidRDefault="00CF5FBE" w:rsidP="00626EDA">
      <w:r>
        <w:separator/>
      </w:r>
    </w:p>
  </w:endnote>
  <w:endnote w:type="continuationSeparator" w:id="0">
    <w:p w14:paraId="7D018A02" w14:textId="77777777" w:rsidR="00CF5FBE" w:rsidRDefault="00CF5FB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A19" w14:textId="434BC19E" w:rsidR="00AD347A" w:rsidRDefault="00AD347A">
    <w:pPr>
      <w:pStyle w:val="Footer"/>
    </w:pPr>
    <w:r>
      <w:fldChar w:fldCharType="begin"/>
    </w:r>
    <w:r>
      <w:instrText xml:space="preserve"> PAGE   \* MERGEFORMAT </w:instrText>
    </w:r>
    <w:r>
      <w:fldChar w:fldCharType="separate"/>
    </w:r>
    <w:r w:rsidR="00277D90">
      <w:rPr>
        <w:noProof/>
      </w:rPr>
      <w:t>2</w:t>
    </w:r>
    <w:r>
      <w:rPr>
        <w:noProof/>
      </w:rPr>
      <w:fldChar w:fldCharType="end"/>
    </w:r>
  </w:p>
  <w:p w14:paraId="5A491E54" w14:textId="77777777" w:rsidR="000F7F20" w:rsidRPr="00590890" w:rsidRDefault="000F7F20"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A0F1" w14:textId="020A7766" w:rsidR="00AD347A" w:rsidRDefault="00AD347A">
    <w:pPr>
      <w:pStyle w:val="Footer"/>
    </w:pPr>
    <w:r>
      <w:fldChar w:fldCharType="begin"/>
    </w:r>
    <w:r>
      <w:instrText xml:space="preserve"> PAGE   \* MERGEFORMAT </w:instrText>
    </w:r>
    <w:r>
      <w:fldChar w:fldCharType="separate"/>
    </w:r>
    <w:r w:rsidR="00EC2059">
      <w:rPr>
        <w:noProof/>
      </w:rPr>
      <w:t>1</w:t>
    </w:r>
    <w:r>
      <w:rPr>
        <w:noProof/>
      </w:rPr>
      <w:fldChar w:fldCharType="end"/>
    </w:r>
  </w:p>
  <w:p w14:paraId="178510E0" w14:textId="77777777" w:rsidR="000F7F20" w:rsidRPr="00874C73" w:rsidRDefault="000F7F20"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8598" w14:textId="77777777" w:rsidR="00CF5FBE" w:rsidRDefault="00CF5FBE" w:rsidP="00626EDA">
      <w:r>
        <w:separator/>
      </w:r>
    </w:p>
  </w:footnote>
  <w:footnote w:type="continuationSeparator" w:id="0">
    <w:p w14:paraId="4F9E6E05" w14:textId="77777777" w:rsidR="00CF5FBE" w:rsidRDefault="00CF5FB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8D40" w14:textId="43814D3B" w:rsidR="000F7F20" w:rsidRDefault="00F41C17">
    <w:r>
      <w:rPr>
        <w:noProof/>
        <w:lang w:val="en-GB" w:eastAsia="en-GB"/>
      </w:rPr>
      <w:drawing>
        <wp:anchor distT="0" distB="0" distL="114300" distR="114300" simplePos="0" relativeHeight="251657216" behindDoc="1" locked="0" layoutInCell="1" allowOverlap="1" wp14:anchorId="1E898EEA" wp14:editId="42C96700">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277D90">
      <w:rPr>
        <w:noProof/>
      </w:rPr>
      <w:pict w14:anchorId="1E3C7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D32A" w14:textId="77777777" w:rsidR="000F7F20" w:rsidRDefault="000F7F20"/>
  <w:p w14:paraId="625BB817" w14:textId="77777777" w:rsidR="000F7F20" w:rsidRDefault="000F7F20"/>
  <w:p w14:paraId="73B22F48" w14:textId="77777777" w:rsidR="000F7F20" w:rsidRDefault="000F7F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3D97" w14:textId="77777777" w:rsidR="000F7F20" w:rsidRDefault="000F7F20"/>
  <w:p w14:paraId="6D68CA81" w14:textId="77777777" w:rsidR="000F7F20" w:rsidRDefault="000F7F20"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8.5pt;height:332pt" o:bullet="t">
        <v:imagedata r:id="rId1" o:title="TK_LOGO_POINTER_RGB_BULLET"/>
      </v:shape>
    </w:pict>
  </w:numPicBullet>
  <w:numPicBullet w:numPicBulletId="1">
    <w:pict>
      <v:shape id="_x0000_i1036" type="#_x0000_t75" style="width:36pt;height:30pt" o:bullet="t">
        <v:imagedata r:id="rId2" o:title="Tick"/>
      </v:shape>
    </w:pict>
  </w:numPicBullet>
  <w:numPicBullet w:numPicBulletId="2">
    <w:pict>
      <v:shape id="_x0000_i1037" type="#_x0000_t75" style="width:30pt;height:30pt" o:bullet="t">
        <v:imagedata r:id="rId3" o:title="Cross"/>
      </v:shape>
    </w:pict>
  </w:numPicBullet>
  <w:numPicBullet w:numPicBulletId="3">
    <w:pict>
      <v:shape id="_x0000_i1038" type="#_x0000_t75" style="width:208.5pt;height:332pt" o:bullet="t">
        <v:imagedata r:id="rId4" o:title="art1EF6"/>
      </v:shape>
    </w:pict>
  </w:numPicBullet>
  <w:numPicBullet w:numPicBulletId="4">
    <w:pict>
      <v:shape id="_x0000_i1039" type="#_x0000_t75" style="width:208.5pt;height:332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00E2342"/>
    <w:lvl w:ilvl="0" w:tplc="706C3D80">
      <w:start w:val="1"/>
      <w:numFmt w:val="decimal"/>
      <w:lvlText w:val="%1."/>
      <w:lvlJc w:val="left"/>
      <w:pPr>
        <w:tabs>
          <w:tab w:val="num" w:pos="1209"/>
        </w:tabs>
        <w:ind w:left="1209" w:hanging="360"/>
      </w:pPr>
    </w:lvl>
    <w:lvl w:ilvl="1" w:tplc="CE3A3564">
      <w:numFmt w:val="decimal"/>
      <w:lvlText w:val=""/>
      <w:lvlJc w:val="left"/>
    </w:lvl>
    <w:lvl w:ilvl="2" w:tplc="B4A6C966">
      <w:numFmt w:val="decimal"/>
      <w:lvlText w:val=""/>
      <w:lvlJc w:val="left"/>
    </w:lvl>
    <w:lvl w:ilvl="3" w:tplc="EBDE25CA">
      <w:numFmt w:val="decimal"/>
      <w:lvlText w:val=""/>
      <w:lvlJc w:val="left"/>
    </w:lvl>
    <w:lvl w:ilvl="4" w:tplc="FB04589A">
      <w:numFmt w:val="decimal"/>
      <w:lvlText w:val=""/>
      <w:lvlJc w:val="left"/>
    </w:lvl>
    <w:lvl w:ilvl="5" w:tplc="7A80E830">
      <w:numFmt w:val="decimal"/>
      <w:lvlText w:val=""/>
      <w:lvlJc w:val="left"/>
    </w:lvl>
    <w:lvl w:ilvl="6" w:tplc="1F2C5116">
      <w:numFmt w:val="decimal"/>
      <w:lvlText w:val=""/>
      <w:lvlJc w:val="left"/>
    </w:lvl>
    <w:lvl w:ilvl="7" w:tplc="4956C318">
      <w:numFmt w:val="decimal"/>
      <w:lvlText w:val=""/>
      <w:lvlJc w:val="left"/>
    </w:lvl>
    <w:lvl w:ilvl="8" w:tplc="2768261E">
      <w:numFmt w:val="decimal"/>
      <w:lvlText w:val=""/>
      <w:lvlJc w:val="left"/>
    </w:lvl>
  </w:abstractNum>
  <w:abstractNum w:abstractNumId="2" w15:restartNumberingAfterBreak="0">
    <w:nsid w:val="FFFFFF7E"/>
    <w:multiLevelType w:val="hybridMultilevel"/>
    <w:tmpl w:val="FB5C8FB0"/>
    <w:lvl w:ilvl="0" w:tplc="A73AF2BE">
      <w:start w:val="1"/>
      <w:numFmt w:val="decimal"/>
      <w:lvlText w:val="%1."/>
      <w:lvlJc w:val="left"/>
      <w:pPr>
        <w:tabs>
          <w:tab w:val="num" w:pos="926"/>
        </w:tabs>
        <w:ind w:left="926" w:hanging="360"/>
      </w:pPr>
    </w:lvl>
    <w:lvl w:ilvl="1" w:tplc="0A80392E">
      <w:numFmt w:val="decimal"/>
      <w:lvlText w:val=""/>
      <w:lvlJc w:val="left"/>
    </w:lvl>
    <w:lvl w:ilvl="2" w:tplc="FC6692A4">
      <w:numFmt w:val="decimal"/>
      <w:lvlText w:val=""/>
      <w:lvlJc w:val="left"/>
    </w:lvl>
    <w:lvl w:ilvl="3" w:tplc="2E92E894">
      <w:numFmt w:val="decimal"/>
      <w:lvlText w:val=""/>
      <w:lvlJc w:val="left"/>
    </w:lvl>
    <w:lvl w:ilvl="4" w:tplc="0CFEE424">
      <w:numFmt w:val="decimal"/>
      <w:lvlText w:val=""/>
      <w:lvlJc w:val="left"/>
    </w:lvl>
    <w:lvl w:ilvl="5" w:tplc="FA042C7E">
      <w:numFmt w:val="decimal"/>
      <w:lvlText w:val=""/>
      <w:lvlJc w:val="left"/>
    </w:lvl>
    <w:lvl w:ilvl="6" w:tplc="233051C8">
      <w:numFmt w:val="decimal"/>
      <w:lvlText w:val=""/>
      <w:lvlJc w:val="left"/>
    </w:lvl>
    <w:lvl w:ilvl="7" w:tplc="C2D29FBE">
      <w:numFmt w:val="decimal"/>
      <w:lvlText w:val=""/>
      <w:lvlJc w:val="left"/>
    </w:lvl>
    <w:lvl w:ilvl="8" w:tplc="A7EEC4DE">
      <w:numFmt w:val="decimal"/>
      <w:lvlText w:val=""/>
      <w:lvlJc w:val="left"/>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8D95FC1"/>
    <w:multiLevelType w:val="hybridMultilevel"/>
    <w:tmpl w:val="592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08203F"/>
    <w:multiLevelType w:val="hybridMultilevel"/>
    <w:tmpl w:val="6E6466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3FD3B81"/>
    <w:multiLevelType w:val="hybridMultilevel"/>
    <w:tmpl w:val="027250B6"/>
    <w:lvl w:ilvl="0" w:tplc="1C96219C">
      <w:start w:val="1"/>
      <w:numFmt w:val="bullet"/>
      <w:lvlText w:val=""/>
      <w:lvlJc w:val="left"/>
      <w:pPr>
        <w:tabs>
          <w:tab w:val="num" w:pos="720"/>
        </w:tabs>
        <w:ind w:left="720" w:hanging="360"/>
      </w:pPr>
      <w:rPr>
        <w:rFonts w:ascii="Symbol" w:hAnsi="Symbol" w:hint="default"/>
        <w:sz w:val="20"/>
      </w:rPr>
    </w:lvl>
    <w:lvl w:ilvl="1" w:tplc="BF7ED5E8" w:tentative="1">
      <w:start w:val="1"/>
      <w:numFmt w:val="bullet"/>
      <w:lvlText w:val="o"/>
      <w:lvlJc w:val="left"/>
      <w:pPr>
        <w:tabs>
          <w:tab w:val="num" w:pos="1440"/>
        </w:tabs>
        <w:ind w:left="1440" w:hanging="360"/>
      </w:pPr>
      <w:rPr>
        <w:rFonts w:ascii="Courier New" w:hAnsi="Courier New" w:hint="default"/>
        <w:sz w:val="20"/>
      </w:rPr>
    </w:lvl>
    <w:lvl w:ilvl="2" w:tplc="D00034BA" w:tentative="1">
      <w:start w:val="1"/>
      <w:numFmt w:val="bullet"/>
      <w:lvlText w:val=""/>
      <w:lvlJc w:val="left"/>
      <w:pPr>
        <w:tabs>
          <w:tab w:val="num" w:pos="2160"/>
        </w:tabs>
        <w:ind w:left="2160" w:hanging="360"/>
      </w:pPr>
      <w:rPr>
        <w:rFonts w:ascii="Wingdings" w:hAnsi="Wingdings" w:hint="default"/>
        <w:sz w:val="20"/>
      </w:rPr>
    </w:lvl>
    <w:lvl w:ilvl="3" w:tplc="252EDBA0" w:tentative="1">
      <w:start w:val="1"/>
      <w:numFmt w:val="bullet"/>
      <w:lvlText w:val=""/>
      <w:lvlJc w:val="left"/>
      <w:pPr>
        <w:tabs>
          <w:tab w:val="num" w:pos="2880"/>
        </w:tabs>
        <w:ind w:left="2880" w:hanging="360"/>
      </w:pPr>
      <w:rPr>
        <w:rFonts w:ascii="Wingdings" w:hAnsi="Wingdings" w:hint="default"/>
        <w:sz w:val="20"/>
      </w:rPr>
    </w:lvl>
    <w:lvl w:ilvl="4" w:tplc="02501A16" w:tentative="1">
      <w:start w:val="1"/>
      <w:numFmt w:val="bullet"/>
      <w:lvlText w:val=""/>
      <w:lvlJc w:val="left"/>
      <w:pPr>
        <w:tabs>
          <w:tab w:val="num" w:pos="3600"/>
        </w:tabs>
        <w:ind w:left="3600" w:hanging="360"/>
      </w:pPr>
      <w:rPr>
        <w:rFonts w:ascii="Wingdings" w:hAnsi="Wingdings" w:hint="default"/>
        <w:sz w:val="20"/>
      </w:rPr>
    </w:lvl>
    <w:lvl w:ilvl="5" w:tplc="0F5EE79E" w:tentative="1">
      <w:start w:val="1"/>
      <w:numFmt w:val="bullet"/>
      <w:lvlText w:val=""/>
      <w:lvlJc w:val="left"/>
      <w:pPr>
        <w:tabs>
          <w:tab w:val="num" w:pos="4320"/>
        </w:tabs>
        <w:ind w:left="4320" w:hanging="360"/>
      </w:pPr>
      <w:rPr>
        <w:rFonts w:ascii="Wingdings" w:hAnsi="Wingdings" w:hint="default"/>
        <w:sz w:val="20"/>
      </w:rPr>
    </w:lvl>
    <w:lvl w:ilvl="6" w:tplc="1576C808" w:tentative="1">
      <w:start w:val="1"/>
      <w:numFmt w:val="bullet"/>
      <w:lvlText w:val=""/>
      <w:lvlJc w:val="left"/>
      <w:pPr>
        <w:tabs>
          <w:tab w:val="num" w:pos="5040"/>
        </w:tabs>
        <w:ind w:left="5040" w:hanging="360"/>
      </w:pPr>
      <w:rPr>
        <w:rFonts w:ascii="Wingdings" w:hAnsi="Wingdings" w:hint="default"/>
        <w:sz w:val="20"/>
      </w:rPr>
    </w:lvl>
    <w:lvl w:ilvl="7" w:tplc="787CB14A" w:tentative="1">
      <w:start w:val="1"/>
      <w:numFmt w:val="bullet"/>
      <w:lvlText w:val=""/>
      <w:lvlJc w:val="left"/>
      <w:pPr>
        <w:tabs>
          <w:tab w:val="num" w:pos="5760"/>
        </w:tabs>
        <w:ind w:left="5760" w:hanging="360"/>
      </w:pPr>
      <w:rPr>
        <w:rFonts w:ascii="Wingdings" w:hAnsi="Wingdings" w:hint="default"/>
        <w:sz w:val="20"/>
      </w:rPr>
    </w:lvl>
    <w:lvl w:ilvl="8" w:tplc="0714D3D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01F2E7C6"/>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0160C"/>
    <w:multiLevelType w:val="hybridMultilevel"/>
    <w:tmpl w:val="FDA4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1"/>
  </w:num>
  <w:num w:numId="16">
    <w:abstractNumId w:val="26"/>
  </w:num>
  <w:num w:numId="17">
    <w:abstractNumId w:val="33"/>
  </w:num>
  <w:num w:numId="18">
    <w:abstractNumId w:val="18"/>
  </w:num>
  <w:num w:numId="19">
    <w:abstractNumId w:val="21"/>
  </w:num>
  <w:num w:numId="20">
    <w:abstractNumId w:val="20"/>
  </w:num>
  <w:num w:numId="21">
    <w:abstractNumId w:val="29"/>
  </w:num>
  <w:num w:numId="22">
    <w:abstractNumId w:val="16"/>
  </w:num>
  <w:num w:numId="23">
    <w:abstractNumId w:val="12"/>
  </w:num>
  <w:num w:numId="24">
    <w:abstractNumId w:val="30"/>
  </w:num>
  <w:num w:numId="25">
    <w:abstractNumId w:val="36"/>
  </w:num>
  <w:num w:numId="26">
    <w:abstractNumId w:val="24"/>
  </w:num>
  <w:num w:numId="27">
    <w:abstractNumId w:val="34"/>
  </w:num>
  <w:num w:numId="28">
    <w:abstractNumId w:val="35"/>
  </w:num>
  <w:num w:numId="29">
    <w:abstractNumId w:val="23"/>
  </w:num>
  <w:num w:numId="30">
    <w:abstractNumId w:val="20"/>
  </w:num>
  <w:num w:numId="31">
    <w:abstractNumId w:val="29"/>
  </w:num>
  <w:num w:numId="32">
    <w:abstractNumId w:val="20"/>
  </w:num>
  <w:num w:numId="33">
    <w:abstractNumId w:val="29"/>
  </w:num>
  <w:num w:numId="34">
    <w:abstractNumId w:val="11"/>
  </w:num>
  <w:num w:numId="35">
    <w:abstractNumId w:val="26"/>
  </w:num>
  <w:num w:numId="36">
    <w:abstractNumId w:val="35"/>
  </w:num>
  <w:num w:numId="37">
    <w:abstractNumId w:val="10"/>
  </w:num>
  <w:num w:numId="38">
    <w:abstractNumId w:val="14"/>
  </w:num>
  <w:num w:numId="39">
    <w:abstractNumId w:val="37"/>
  </w:num>
  <w:num w:numId="40">
    <w:abstractNumId w:val="27"/>
  </w:num>
  <w:num w:numId="41">
    <w:abstractNumId w:val="28"/>
  </w:num>
  <w:num w:numId="42">
    <w:abstractNumId w:val="37"/>
  </w:num>
  <w:num w:numId="43">
    <w:abstractNumId w:val="17"/>
  </w:num>
  <w:num w:numId="44">
    <w:abstractNumId w:val="31"/>
  </w:num>
  <w:num w:numId="45">
    <w:abstractNumId w:val="2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26"/>
    <w:rsid w:val="00015991"/>
    <w:rsid w:val="00015B1A"/>
    <w:rsid w:val="0002254B"/>
    <w:rsid w:val="0002426E"/>
    <w:rsid w:val="0004337E"/>
    <w:rsid w:val="00077E3C"/>
    <w:rsid w:val="00082050"/>
    <w:rsid w:val="00093C29"/>
    <w:rsid w:val="000A569F"/>
    <w:rsid w:val="000A6DCD"/>
    <w:rsid w:val="000B4B19"/>
    <w:rsid w:val="000B77E5"/>
    <w:rsid w:val="000D2CBE"/>
    <w:rsid w:val="000F5932"/>
    <w:rsid w:val="000F7F20"/>
    <w:rsid w:val="00113E46"/>
    <w:rsid w:val="00117765"/>
    <w:rsid w:val="00125900"/>
    <w:rsid w:val="00130BDF"/>
    <w:rsid w:val="00133219"/>
    <w:rsid w:val="0013442F"/>
    <w:rsid w:val="001357C9"/>
    <w:rsid w:val="0014434B"/>
    <w:rsid w:val="00181880"/>
    <w:rsid w:val="001864DE"/>
    <w:rsid w:val="00196CB9"/>
    <w:rsid w:val="001A459C"/>
    <w:rsid w:val="001C332E"/>
    <w:rsid w:val="001C3F60"/>
    <w:rsid w:val="001E3CA3"/>
    <w:rsid w:val="001F6285"/>
    <w:rsid w:val="00200633"/>
    <w:rsid w:val="0022082A"/>
    <w:rsid w:val="0022362F"/>
    <w:rsid w:val="00235450"/>
    <w:rsid w:val="00240812"/>
    <w:rsid w:val="00252AD0"/>
    <w:rsid w:val="002570C9"/>
    <w:rsid w:val="00272E52"/>
    <w:rsid w:val="00275D5E"/>
    <w:rsid w:val="00277D90"/>
    <w:rsid w:val="002A028C"/>
    <w:rsid w:val="002C4C82"/>
    <w:rsid w:val="002E47AF"/>
    <w:rsid w:val="002F2137"/>
    <w:rsid w:val="00303816"/>
    <w:rsid w:val="00305626"/>
    <w:rsid w:val="0031075E"/>
    <w:rsid w:val="00332278"/>
    <w:rsid w:val="003365A2"/>
    <w:rsid w:val="003650B9"/>
    <w:rsid w:val="003859C5"/>
    <w:rsid w:val="003873F5"/>
    <w:rsid w:val="003A39A0"/>
    <w:rsid w:val="003A5738"/>
    <w:rsid w:val="003A6BAA"/>
    <w:rsid w:val="003B0ADD"/>
    <w:rsid w:val="003B3D47"/>
    <w:rsid w:val="003F2BD9"/>
    <w:rsid w:val="00410382"/>
    <w:rsid w:val="00426593"/>
    <w:rsid w:val="0046077F"/>
    <w:rsid w:val="004862D9"/>
    <w:rsid w:val="0049204B"/>
    <w:rsid w:val="00492BB3"/>
    <w:rsid w:val="0049302A"/>
    <w:rsid w:val="004938F0"/>
    <w:rsid w:val="004944EE"/>
    <w:rsid w:val="00494953"/>
    <w:rsid w:val="004A5120"/>
    <w:rsid w:val="004A78C5"/>
    <w:rsid w:val="004B319B"/>
    <w:rsid w:val="004B3C9A"/>
    <w:rsid w:val="004C34CC"/>
    <w:rsid w:val="004D15C0"/>
    <w:rsid w:val="004D7731"/>
    <w:rsid w:val="004E2711"/>
    <w:rsid w:val="004E641E"/>
    <w:rsid w:val="004E6B60"/>
    <w:rsid w:val="004F0E04"/>
    <w:rsid w:val="00513A7A"/>
    <w:rsid w:val="00515704"/>
    <w:rsid w:val="0052456D"/>
    <w:rsid w:val="00531C8C"/>
    <w:rsid w:val="005322DA"/>
    <w:rsid w:val="00551A84"/>
    <w:rsid w:val="00564CD3"/>
    <w:rsid w:val="00566B82"/>
    <w:rsid w:val="00573834"/>
    <w:rsid w:val="00583746"/>
    <w:rsid w:val="00584A10"/>
    <w:rsid w:val="00590890"/>
    <w:rsid w:val="0059709B"/>
    <w:rsid w:val="00597ED1"/>
    <w:rsid w:val="005B04AA"/>
    <w:rsid w:val="005B41F6"/>
    <w:rsid w:val="005B4650"/>
    <w:rsid w:val="005D2D4D"/>
    <w:rsid w:val="006128D4"/>
    <w:rsid w:val="00626EDA"/>
    <w:rsid w:val="006846AC"/>
    <w:rsid w:val="006A2F47"/>
    <w:rsid w:val="006B4C6C"/>
    <w:rsid w:val="006C48FA"/>
    <w:rsid w:val="006E44A2"/>
    <w:rsid w:val="006F2E81"/>
    <w:rsid w:val="006F569D"/>
    <w:rsid w:val="006F7E8A"/>
    <w:rsid w:val="00703C04"/>
    <w:rsid w:val="007070A1"/>
    <w:rsid w:val="00735B7D"/>
    <w:rsid w:val="00746CDB"/>
    <w:rsid w:val="00763488"/>
    <w:rsid w:val="00765590"/>
    <w:rsid w:val="007773FB"/>
    <w:rsid w:val="00790726"/>
    <w:rsid w:val="00793C1B"/>
    <w:rsid w:val="00797799"/>
    <w:rsid w:val="007A325C"/>
    <w:rsid w:val="007B7406"/>
    <w:rsid w:val="007C4861"/>
    <w:rsid w:val="007C5AC9"/>
    <w:rsid w:val="007D268D"/>
    <w:rsid w:val="007D4809"/>
    <w:rsid w:val="007E217D"/>
    <w:rsid w:val="007F2714"/>
    <w:rsid w:val="0080784C"/>
    <w:rsid w:val="008112B2"/>
    <w:rsid w:val="008116A6"/>
    <w:rsid w:val="00816EA8"/>
    <w:rsid w:val="00820727"/>
    <w:rsid w:val="0084075D"/>
    <w:rsid w:val="00845129"/>
    <w:rsid w:val="00846CDF"/>
    <w:rsid w:val="008472C3"/>
    <w:rsid w:val="008518E4"/>
    <w:rsid w:val="008528FB"/>
    <w:rsid w:val="00874C73"/>
    <w:rsid w:val="00876BC8"/>
    <w:rsid w:val="00883524"/>
    <w:rsid w:val="008941E7"/>
    <w:rsid w:val="008B2E49"/>
    <w:rsid w:val="008B4D8E"/>
    <w:rsid w:val="008C07E4"/>
    <w:rsid w:val="008C1253"/>
    <w:rsid w:val="008C3E6B"/>
    <w:rsid w:val="008D00E1"/>
    <w:rsid w:val="008D0382"/>
    <w:rsid w:val="008E3129"/>
    <w:rsid w:val="008E3578"/>
    <w:rsid w:val="008F0272"/>
    <w:rsid w:val="008F744A"/>
    <w:rsid w:val="00914A76"/>
    <w:rsid w:val="00945F78"/>
    <w:rsid w:val="009509E5"/>
    <w:rsid w:val="009529C1"/>
    <w:rsid w:val="00961A30"/>
    <w:rsid w:val="009837DA"/>
    <w:rsid w:val="009A2F44"/>
    <w:rsid w:val="009A448F"/>
    <w:rsid w:val="009A7641"/>
    <w:rsid w:val="009E5935"/>
    <w:rsid w:val="00A006CF"/>
    <w:rsid w:val="00A04E2B"/>
    <w:rsid w:val="00A36E3A"/>
    <w:rsid w:val="00A442A0"/>
    <w:rsid w:val="00A51177"/>
    <w:rsid w:val="00A60CD4"/>
    <w:rsid w:val="00A9708F"/>
    <w:rsid w:val="00AA3115"/>
    <w:rsid w:val="00AA6E39"/>
    <w:rsid w:val="00AB3104"/>
    <w:rsid w:val="00AD347A"/>
    <w:rsid w:val="00AE50F0"/>
    <w:rsid w:val="00B11EA7"/>
    <w:rsid w:val="00B26DEE"/>
    <w:rsid w:val="00B33FF2"/>
    <w:rsid w:val="00B34BD8"/>
    <w:rsid w:val="00B37BB8"/>
    <w:rsid w:val="00B6679E"/>
    <w:rsid w:val="00B91D47"/>
    <w:rsid w:val="00B95F60"/>
    <w:rsid w:val="00BB4DD5"/>
    <w:rsid w:val="00BC755D"/>
    <w:rsid w:val="00BD769B"/>
    <w:rsid w:val="00BE215A"/>
    <w:rsid w:val="00BE6E90"/>
    <w:rsid w:val="00C00F84"/>
    <w:rsid w:val="00C12D40"/>
    <w:rsid w:val="00C17689"/>
    <w:rsid w:val="00C25832"/>
    <w:rsid w:val="00C41D81"/>
    <w:rsid w:val="00C475BA"/>
    <w:rsid w:val="00C51C6A"/>
    <w:rsid w:val="00C81A79"/>
    <w:rsid w:val="00C8314B"/>
    <w:rsid w:val="00C83E86"/>
    <w:rsid w:val="00C9770F"/>
    <w:rsid w:val="00CA0F12"/>
    <w:rsid w:val="00CB1850"/>
    <w:rsid w:val="00CC21ED"/>
    <w:rsid w:val="00CC37EC"/>
    <w:rsid w:val="00CE654E"/>
    <w:rsid w:val="00CF06BA"/>
    <w:rsid w:val="00CF5FBE"/>
    <w:rsid w:val="00D11C7E"/>
    <w:rsid w:val="00D378EA"/>
    <w:rsid w:val="00D43C4D"/>
    <w:rsid w:val="00D44781"/>
    <w:rsid w:val="00D508B4"/>
    <w:rsid w:val="00D64BCF"/>
    <w:rsid w:val="00D6536C"/>
    <w:rsid w:val="00D73AF6"/>
    <w:rsid w:val="00D86752"/>
    <w:rsid w:val="00D86FD0"/>
    <w:rsid w:val="00D95FA0"/>
    <w:rsid w:val="00DA43DE"/>
    <w:rsid w:val="00DA5725"/>
    <w:rsid w:val="00DA7F11"/>
    <w:rsid w:val="00DB28B4"/>
    <w:rsid w:val="00DB3136"/>
    <w:rsid w:val="00DC5FAC"/>
    <w:rsid w:val="00DC603A"/>
    <w:rsid w:val="00DF66B4"/>
    <w:rsid w:val="00E05C45"/>
    <w:rsid w:val="00E24FDF"/>
    <w:rsid w:val="00E2535F"/>
    <w:rsid w:val="00E3210F"/>
    <w:rsid w:val="00E647DF"/>
    <w:rsid w:val="00E64E2A"/>
    <w:rsid w:val="00E9136B"/>
    <w:rsid w:val="00EC2059"/>
    <w:rsid w:val="00EC2499"/>
    <w:rsid w:val="00EF22F0"/>
    <w:rsid w:val="00EF30FA"/>
    <w:rsid w:val="00F0286F"/>
    <w:rsid w:val="00F06384"/>
    <w:rsid w:val="00F139E0"/>
    <w:rsid w:val="00F26FC3"/>
    <w:rsid w:val="00F331BC"/>
    <w:rsid w:val="00F33259"/>
    <w:rsid w:val="00F40EC2"/>
    <w:rsid w:val="00F41C17"/>
    <w:rsid w:val="00F53F32"/>
    <w:rsid w:val="00F81DE7"/>
    <w:rsid w:val="00F82220"/>
    <w:rsid w:val="00F82B35"/>
    <w:rsid w:val="00F84A6A"/>
    <w:rsid w:val="00F97695"/>
    <w:rsid w:val="00FC1337"/>
    <w:rsid w:val="00FC6431"/>
    <w:rsid w:val="00FE3F15"/>
    <w:rsid w:val="00FE7458"/>
    <w:rsid w:val="02DBD62E"/>
    <w:rsid w:val="0A19E709"/>
    <w:rsid w:val="168B2950"/>
    <w:rsid w:val="1CF9056B"/>
    <w:rsid w:val="243FB462"/>
    <w:rsid w:val="24C17B12"/>
    <w:rsid w:val="26C09D0D"/>
    <w:rsid w:val="2CBE39DE"/>
    <w:rsid w:val="2D95FC1B"/>
    <w:rsid w:val="30BDC46C"/>
    <w:rsid w:val="3270625D"/>
    <w:rsid w:val="339FFFC9"/>
    <w:rsid w:val="36E85C1C"/>
    <w:rsid w:val="3C5B0CA2"/>
    <w:rsid w:val="49F95D9C"/>
    <w:rsid w:val="50BECBB3"/>
    <w:rsid w:val="537DF070"/>
    <w:rsid w:val="5AB8B891"/>
    <w:rsid w:val="5F51613D"/>
    <w:rsid w:val="6AAC8AB2"/>
    <w:rsid w:val="6DC5A0C9"/>
    <w:rsid w:val="76B0C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0AD78"/>
  <w15:chartTrackingRefBased/>
  <w15:docId w15:val="{C6B05ED7-76CA-4296-938F-5CEA843E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FB"/>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3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8E3578"/>
    <w:pPr>
      <w:numPr>
        <w:numId w:val="39"/>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38"/>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40"/>
      </w:numPr>
      <w:ind w:right="284"/>
    </w:pPr>
    <w:rPr>
      <w:sz w:val="22"/>
    </w:rPr>
  </w:style>
  <w:style w:type="paragraph" w:customStyle="1" w:styleId="7Tablebodybulleted">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 w:type="paragraph" w:styleId="NormalWeb">
    <w:name w:val="Normal (Web)"/>
    <w:basedOn w:val="Normal"/>
    <w:uiPriority w:val="99"/>
    <w:semiHidden/>
    <w:unhideWhenUsed/>
    <w:rsid w:val="005B41F6"/>
    <w:pPr>
      <w:spacing w:before="100" w:beforeAutospacing="1" w:after="100" w:afterAutospacing="1"/>
    </w:pPr>
    <w:rPr>
      <w:rFonts w:ascii="Times New Roman" w:eastAsia="Times New Roman" w:hAnsi="Times New Roman"/>
      <w:sz w:val="24"/>
      <w:lang w:val="en-GB" w:eastAsia="en-GB"/>
    </w:rPr>
  </w:style>
  <w:style w:type="paragraph" w:styleId="Revision">
    <w:name w:val="Revision"/>
    <w:hidden/>
    <w:uiPriority w:val="99"/>
    <w:semiHidden/>
    <w:rsid w:val="008D0382"/>
    <w:rPr>
      <w:rFonts w:eastAsia="MS Mincho"/>
      <w:szCs w:val="24"/>
      <w:lang w:val="en-US" w:eastAsia="en-US"/>
    </w:rPr>
  </w:style>
  <w:style w:type="character" w:customStyle="1" w:styleId="UnresolvedMention">
    <w:name w:val="Unresolved Mention"/>
    <w:basedOn w:val="DefaultParagraphFont"/>
    <w:uiPriority w:val="99"/>
    <w:semiHidden/>
    <w:unhideWhenUsed/>
    <w:rsid w:val="00240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2841280">
      <w:bodyDiv w:val="1"/>
      <w:marLeft w:val="0"/>
      <w:marRight w:val="0"/>
      <w:marTop w:val="0"/>
      <w:marBottom w:val="0"/>
      <w:divBdr>
        <w:top w:val="none" w:sz="0" w:space="0" w:color="auto"/>
        <w:left w:val="none" w:sz="0" w:space="0" w:color="auto"/>
        <w:bottom w:val="none" w:sz="0" w:space="0" w:color="auto"/>
        <w:right w:val="none" w:sz="0" w:space="0" w:color="auto"/>
      </w:divBdr>
    </w:div>
    <w:div w:id="1902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school-themes/parental-engag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endowmentfoundation.org.uk/public/files/Publications/Covid-19_Resources/Covid-19_support_guide_for_school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tools/guidance-reports/making-best-use-of-teaching-assista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educationendowmentfoundation.org.uk/tools/guidance-reports/maths-ks-2-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tools/guidance-reports/early-math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0" ma:contentTypeDescription="Create a new document." ma:contentTypeScope="" ma:versionID="c905f140d660c535cd94d167baa88405">
  <xsd:schema xmlns:xsd="http://www.w3.org/2001/XMLSchema" xmlns:xs="http://www.w3.org/2001/XMLSchema" xmlns:p="http://schemas.microsoft.com/office/2006/metadata/properties" xmlns:ns3="5357d535-04ef-4279-9d0d-df676656a667" targetNamespace="http://schemas.microsoft.com/office/2006/metadata/properties" ma:root="true" ma:fieldsID="a540ebfa2cc1bbe2eea5870d8628e5f7" ns3:_="">
    <xsd:import namespace="5357d535-04ef-4279-9d0d-df676656a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393FC10-797E-4AD5-8188-76AEC2C07CA6}">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5357d535-04ef-4279-9d0d-df676656a667"/>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6B76EC3-D3A4-4059-A4A6-7291C5123FF4}">
  <ds:schemaRefs>
    <ds:schemaRef ds:uri="http://schemas.microsoft.com/sharepoint/v3/contenttype/forms"/>
  </ds:schemaRefs>
</ds:datastoreItem>
</file>

<file path=customXml/itemProps3.xml><?xml version="1.0" encoding="utf-8"?>
<ds:datastoreItem xmlns:ds="http://schemas.openxmlformats.org/officeDocument/2006/customXml" ds:itemID="{F7377E7F-B232-41C3-ABC6-8C8DB6E5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1936C-429E-406D-A2D8-07AC8733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(14)</Template>
  <TotalTime>4</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Head Teacher Thrussington Primary School</cp:lastModifiedBy>
  <cp:revision>4</cp:revision>
  <cp:lastPrinted>2020-12-04T13:00:00Z</cp:lastPrinted>
  <dcterms:created xsi:type="dcterms:W3CDTF">2021-01-19T21:30:00Z</dcterms:created>
  <dcterms:modified xsi:type="dcterms:W3CDTF">2021-01-19T21:32:00Z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