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5230"/>
      </w:tblGrid>
      <w:tr w:rsidR="00397C10" w:rsidTr="00356916" w14:paraId="6D062FFA" w14:textId="77777777">
        <w:trPr>
          <w:trHeight w:val="1946"/>
        </w:trPr>
        <w:tc>
          <w:tcPr>
            <w:tcW w:w="5230" w:type="dxa"/>
            <w:tcBorders>
              <w:left w:val="double" w:color="A5A5A5" w:themeColor="accent3" w:sz="4" w:space="0"/>
              <w:bottom w:val="double" w:color="A5A5A5" w:themeColor="accent3" w:sz="4" w:space="0"/>
              <w:right w:val="double" w:color="A5A5A5" w:themeColor="accent3" w:sz="4" w:space="0"/>
            </w:tcBorders>
          </w:tcPr>
          <w:p w:rsidR="00397C10" w:rsidP="00356916" w:rsidRDefault="00356916" w14:paraId="0A4D2F28" w14:textId="3260D57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B92232" wp14:editId="2D347B6D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220980</wp:posOffset>
                  </wp:positionV>
                  <wp:extent cx="1269365" cy="1905000"/>
                  <wp:effectExtent l="0" t="0" r="635" b="0"/>
                  <wp:wrapSquare wrapText="bothSides"/>
                  <wp:docPr id="38053218" name="Picture 2" descr="Henry VIII's Secret D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nry VIII's Secret D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86BF43" wp14:editId="794A717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234315</wp:posOffset>
                  </wp:positionV>
                  <wp:extent cx="1252855" cy="1879600"/>
                  <wp:effectExtent l="0" t="0" r="4445" b="0"/>
                  <wp:wrapSquare wrapText="bothSides"/>
                  <wp:docPr id="1878299499" name="Picture 1" descr="The Queen's Token: A Bloomsbury Reader: Brown Book Band (Bloomsbury Reade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Queen's Token: A Bloomsbury Reader: Brown Book Band (Bloomsbury Reade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C10">
              <w:t xml:space="preserve">Our Class books: </w:t>
            </w:r>
          </w:p>
          <w:p w:rsidR="00356916" w:rsidP="00356916" w:rsidRDefault="00356916" w14:paraId="30D4C13E" w14:textId="516FC808">
            <w:r>
              <w:fldChar w:fldCharType="begin"/>
            </w:r>
            <w:r>
              <w:instrText xml:space="preserve"> INCLUDEPICTURE "https://encrypted-tbn1.gstatic.com/shopping?q=tbn:ANd9GcS-UHvsXX3dLMiI6ytab3KYorazcWFOByN1jRkDTcxZ_WOLMRSwVoSIPB6FGZ2qUfsYPuKwTptQVS7C3W_sKYStaQxLq3Pa2tZouXBfA1ZcPh3X7ACbWOtM&amp;usqp=CAc" \* MERGEFORMATINET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"https://encrypted-tbn3.gstatic.com/shopping?q=tbn:ANd9GcQpzGU-ZarES1psxCp_esrxePrmS9O2ZSPZajut40qhOwmgcucNDgfacG1VGG_6BHj7HZ4qjDdt9QCvpTz0ivwJaCwLfxGTyMp7xEniUvQ26SXQvgEM37QQ135Ndtx2RMMvvKz1U3uIiw&amp;usqp=CAc" \* MERGEFORMATINET </w:instrText>
            </w:r>
            <w:r>
              <w:fldChar w:fldCharType="separate"/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42"/>
        <w:tblW w:w="0" w:type="auto"/>
        <w:tblBorders>
          <w:top w:val="double" w:color="538135" w:themeColor="accent6" w:themeShade="BF" w:sz="18" w:space="0"/>
          <w:left w:val="double" w:color="538135" w:themeColor="accent6" w:themeShade="BF" w:sz="18" w:space="0"/>
          <w:bottom w:val="double" w:color="538135" w:themeColor="accent6" w:themeShade="BF" w:sz="18" w:space="0"/>
          <w:right w:val="double" w:color="538135" w:themeColor="accent6" w:themeShade="BF" w:sz="18" w:space="0"/>
          <w:insideH w:val="double" w:color="538135" w:themeColor="accent6" w:themeShade="BF" w:sz="18" w:space="0"/>
          <w:insideV w:val="double" w:color="538135" w:themeColor="accent6" w:themeShade="BF" w:sz="18" w:space="0"/>
        </w:tblBorders>
        <w:tblLook w:val="04A0" w:firstRow="1" w:lastRow="0" w:firstColumn="1" w:lastColumn="0" w:noHBand="0" w:noVBand="1"/>
      </w:tblPr>
      <w:tblGrid>
        <w:gridCol w:w="5034"/>
      </w:tblGrid>
      <w:tr w:rsidR="00397C10" w:rsidTr="00356916" w14:paraId="13A5BCCD" w14:textId="77777777">
        <w:trPr>
          <w:trHeight w:val="1801"/>
        </w:trPr>
        <w:tc>
          <w:tcPr>
            <w:tcW w:w="5034" w:type="dxa"/>
          </w:tcPr>
          <w:p w:rsidRPr="00356916" w:rsidR="00397C10" w:rsidP="00356916" w:rsidRDefault="00356916" w14:paraId="216B7C76" w14:textId="591D490D">
            <w:pPr>
              <w:jc w:val="center"/>
              <w:rPr>
                <w:b/>
                <w:color w:val="538135" w:themeColor="accent6" w:themeShade="BF"/>
                <w:sz w:val="32"/>
                <w:szCs w:val="32"/>
                <w:u w:val="single"/>
              </w:rPr>
            </w:pPr>
            <w:r w:rsidRPr="00356916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Terrible Tudors</w:t>
            </w:r>
          </w:p>
          <w:p w:rsidRPr="005C4D17" w:rsidR="00397C10" w:rsidP="00356916" w:rsidRDefault="00397C10" w14:paraId="33929169" w14:textId="77777777">
            <w:pPr>
              <w:jc w:val="center"/>
              <w:rPr>
                <w:b/>
                <w:color w:val="FFC000"/>
                <w:sz w:val="32"/>
                <w:szCs w:val="32"/>
              </w:rPr>
            </w:pPr>
          </w:p>
          <w:p w:rsidRPr="00397C10" w:rsidR="00397C10" w:rsidP="00356916" w:rsidRDefault="00397C10" w14:paraId="18E13B1E" w14:textId="77777777">
            <w:pPr>
              <w:jc w:val="center"/>
              <w:rPr>
                <w:sz w:val="28"/>
                <w:szCs w:val="28"/>
              </w:rPr>
            </w:pPr>
            <w:r w:rsidRPr="005C4D17">
              <w:rPr>
                <w:b/>
                <w:sz w:val="28"/>
                <w:szCs w:val="28"/>
              </w:rPr>
              <w:t>Year 3 and 4 Topic Web – Autumn Term 1 2022</w:t>
            </w:r>
          </w:p>
        </w:tc>
      </w:tr>
    </w:tbl>
    <w:p w:rsidR="00AD52DB" w:rsidP="795A98DA" w:rsidRDefault="00AD52DB" w14:paraId="25D07A8B" w14:textId="698CF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8230"/>
      </w:tblGrid>
      <w:tr w:rsidR="00397C10" w:rsidTr="602BCC9E" w14:paraId="053ACC16" w14:textId="77777777">
        <w:tc>
          <w:tcPr>
            <w:tcW w:w="1271" w:type="dxa"/>
            <w:tcMar/>
          </w:tcPr>
          <w:p w:rsidR="00397C10" w:rsidP="00397C10" w:rsidRDefault="00397C10" w14:paraId="49F9FC70" w14:textId="77777777"/>
        </w:tc>
        <w:tc>
          <w:tcPr>
            <w:tcW w:w="9185" w:type="dxa"/>
            <w:tcMar/>
          </w:tcPr>
          <w:p w:rsidRPr="00D13065" w:rsidR="00397C10" w:rsidP="00397C10" w:rsidRDefault="00AD52DB" w14:paraId="16563BA4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Subjects related to the topic</w:t>
            </w:r>
          </w:p>
        </w:tc>
      </w:tr>
      <w:tr w:rsidR="00AD52DB" w:rsidTr="602BCC9E" w14:paraId="435D9E76" w14:textId="77777777">
        <w:tc>
          <w:tcPr>
            <w:tcW w:w="1271" w:type="dxa"/>
            <w:tcMar/>
          </w:tcPr>
          <w:p w:rsidRPr="00D13065" w:rsidR="00AD52DB" w:rsidP="4CC9A350" w:rsidRDefault="00AD52DB" w14:paraId="311C7475" w14:textId="4BA2A34D">
            <w:pPr>
              <w:rPr>
                <w:b/>
                <w:bCs/>
                <w:sz w:val="28"/>
                <w:szCs w:val="28"/>
              </w:rPr>
            </w:pPr>
            <w:r w:rsidRPr="4CC9A350">
              <w:rPr>
                <w:b/>
                <w:bCs/>
                <w:sz w:val="28"/>
                <w:szCs w:val="28"/>
              </w:rPr>
              <w:t>English</w:t>
            </w:r>
            <w:r w:rsidRPr="4CC9A350" w:rsidR="586FAE6A">
              <w:rPr>
                <w:b/>
                <w:bCs/>
                <w:sz w:val="28"/>
                <w:szCs w:val="28"/>
              </w:rPr>
              <w:t xml:space="preserve"> -</w:t>
            </w:r>
          </w:p>
          <w:p w:rsidR="586FAE6A" w:rsidP="4CC9A350" w:rsidRDefault="586FAE6A" w14:paraId="6C286BA8" w14:textId="20A094E1">
            <w:pPr>
              <w:rPr>
                <w:b/>
                <w:bCs/>
                <w:sz w:val="28"/>
                <w:szCs w:val="28"/>
              </w:rPr>
            </w:pPr>
            <w:r w:rsidRPr="4CC9A350">
              <w:rPr>
                <w:b/>
                <w:bCs/>
                <w:sz w:val="28"/>
                <w:szCs w:val="28"/>
              </w:rPr>
              <w:t>writing</w:t>
            </w:r>
            <w:r w:rsidR="00356916">
              <w:rPr>
                <w:b/>
                <w:bCs/>
                <w:sz w:val="28"/>
                <w:szCs w:val="28"/>
              </w:rPr>
              <w:t>/grammar</w:t>
            </w:r>
          </w:p>
          <w:p w:rsidR="008D03FF" w:rsidP="00397C10" w:rsidRDefault="00356916" w14:paraId="76D5BB0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tale</w:t>
            </w:r>
          </w:p>
          <w:p w:rsidRPr="00356916" w:rsidR="00356916" w:rsidP="00397C10" w:rsidRDefault="00356916" w14:paraId="57D4CBE9" w14:textId="77777777">
            <w:pPr>
              <w:rPr>
                <w:sz w:val="20"/>
                <w:szCs w:val="20"/>
              </w:rPr>
            </w:pPr>
            <w:r w:rsidRPr="00356916">
              <w:rPr>
                <w:sz w:val="20"/>
                <w:szCs w:val="20"/>
              </w:rPr>
              <w:t>Nouns</w:t>
            </w:r>
          </w:p>
          <w:p w:rsidRPr="00356916" w:rsidR="00356916" w:rsidP="00397C10" w:rsidRDefault="00356916" w14:paraId="7B4B30F8" w14:textId="77777777">
            <w:pPr>
              <w:rPr>
                <w:sz w:val="20"/>
                <w:szCs w:val="20"/>
              </w:rPr>
            </w:pPr>
            <w:r w:rsidRPr="00356916">
              <w:rPr>
                <w:sz w:val="20"/>
                <w:szCs w:val="20"/>
              </w:rPr>
              <w:t>Adjectives</w:t>
            </w:r>
          </w:p>
          <w:p w:rsidRPr="00356916" w:rsidR="00356916" w:rsidP="00397C10" w:rsidRDefault="00356916" w14:paraId="7BE10F65" w14:textId="68AACB6E">
            <w:pPr>
              <w:rPr>
                <w:sz w:val="20"/>
                <w:szCs w:val="20"/>
              </w:rPr>
            </w:pPr>
            <w:r w:rsidRPr="00356916">
              <w:rPr>
                <w:sz w:val="20"/>
                <w:szCs w:val="20"/>
              </w:rPr>
              <w:t>Expanded noun phrases</w:t>
            </w:r>
          </w:p>
          <w:p w:rsidR="00356916" w:rsidP="00397C10" w:rsidRDefault="00356916" w14:paraId="3BB422BD" w14:textId="18532C0D">
            <w:r w:rsidRPr="00356916">
              <w:rPr>
                <w:sz w:val="20"/>
                <w:szCs w:val="20"/>
              </w:rPr>
              <w:t>Punctuating direct speech</w:t>
            </w:r>
          </w:p>
        </w:tc>
        <w:tc>
          <w:tcPr>
            <w:tcW w:w="9185" w:type="dxa"/>
            <w:tcMar/>
          </w:tcPr>
          <w:p w:rsidR="00FA734B" w:rsidP="005C4D17" w:rsidRDefault="00356916" w14:paraId="600DFA0C" w14:textId="50C03DA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602BCC9E" w:rsidR="0035691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Plan, write and edit their own traditional tale based on the story of the Princess and the Pea by Lauren Child.</w:t>
            </w:r>
          </w:p>
          <w:p w:rsidRPr="00356916" w:rsidR="00AD52DB" w:rsidP="00397C10" w:rsidRDefault="005C4D17" w14:paraId="63810C44" w14:textId="43B5A5E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1"/>
                <w:szCs w:val="21"/>
              </w:rPr>
            </w:pPr>
            <w:r w:rsidRPr="602BCC9E" w:rsidR="005C4D1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Punctuation and Grammar</w:t>
            </w:r>
            <w:r w:rsidRPr="602BCC9E" w:rsidR="005C4D17">
              <w:rPr>
                <w:sz w:val="21"/>
                <w:szCs w:val="21"/>
              </w:rPr>
              <w:t xml:space="preserve"> </w:t>
            </w:r>
            <w:r w:rsidRPr="602BCC9E" w:rsidR="005A6A7C">
              <w:rPr>
                <w:sz w:val="21"/>
                <w:szCs w:val="21"/>
              </w:rPr>
              <w:t>–</w:t>
            </w:r>
            <w:r w:rsidRPr="602BCC9E" w:rsidR="005A6A7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Demarcate sentences with capital letters, full stops, question and exclamation marks. </w:t>
            </w:r>
            <w:r w:rsidRPr="602BCC9E" w:rsidR="0035691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Use of expanded noun phrases to describe and specify. </w:t>
            </w:r>
            <w:r w:rsidRPr="602BCC9E" w:rsidR="005A6A7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Use of inverted commas for speech, use of commas after fronted adverbials and capital letters for proper nouns.</w:t>
            </w:r>
            <w:r w:rsidRPr="602BCC9E" w:rsidR="005C4D1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  <w:p w:rsidRPr="00522E1F" w:rsidR="005A6A7C" w:rsidP="00522E1F" w:rsidRDefault="005A6A7C" w14:paraId="39F9E89D" w14:textId="5A5B48B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602BCC9E" w:rsidR="005A6A7C">
              <w:rPr>
                <w:rFonts w:cs="Calibri" w:cstheme="minorAscii"/>
                <w:sz w:val="20"/>
                <w:szCs w:val="20"/>
              </w:rPr>
              <w:t>Handwriting - U</w:t>
            </w:r>
            <w:r w:rsidRPr="602BCC9E" w:rsidR="005A6A7C">
              <w:rPr>
                <w:rFonts w:eastAsia="Times New Roman" w:cs="Calibri" w:cstheme="minorAscii"/>
                <w:sz w:val="20"/>
                <w:szCs w:val="20"/>
                <w:lang w:eastAsia="en-GB"/>
              </w:rPr>
              <w:t>se the diagonal and horizontal strokes needed to join letters and know which letters are best left un-joined when adjacent </w:t>
            </w:r>
          </w:p>
        </w:tc>
      </w:tr>
      <w:tr w:rsidRPr="00A92F90" w:rsidR="00397C10" w:rsidTr="602BCC9E" w14:paraId="385C4C2B" w14:textId="77777777">
        <w:tc>
          <w:tcPr>
            <w:tcW w:w="1271" w:type="dxa"/>
            <w:tcMar/>
          </w:tcPr>
          <w:p w:rsidRPr="00A92F90" w:rsidR="00397C10" w:rsidP="00397C10" w:rsidRDefault="00AD52DB" w14:paraId="3762F2DB" w14:textId="77777777">
            <w:pPr>
              <w:rPr>
                <w:b/>
                <w:sz w:val="28"/>
                <w:szCs w:val="28"/>
              </w:rPr>
            </w:pPr>
            <w:r w:rsidRPr="00A92F90">
              <w:rPr>
                <w:b/>
                <w:sz w:val="28"/>
                <w:szCs w:val="28"/>
              </w:rPr>
              <w:t>History</w:t>
            </w:r>
          </w:p>
          <w:p w:rsidRPr="00522E1F" w:rsidR="00D13065" w:rsidP="00397C10" w:rsidRDefault="00356916" w14:paraId="7994DD05" w14:textId="2D71B2D2">
            <w:pPr>
              <w:rPr>
                <w:sz w:val="20"/>
                <w:szCs w:val="20"/>
              </w:rPr>
            </w:pPr>
            <w:r w:rsidRPr="602BCC9E" w:rsidR="7966A831">
              <w:rPr>
                <w:sz w:val="20"/>
                <w:szCs w:val="20"/>
              </w:rPr>
              <w:t xml:space="preserve">The </w:t>
            </w:r>
            <w:r w:rsidRPr="602BCC9E" w:rsidR="00356916">
              <w:rPr>
                <w:sz w:val="20"/>
                <w:szCs w:val="20"/>
              </w:rPr>
              <w:t>Tudors</w:t>
            </w:r>
          </w:p>
        </w:tc>
        <w:tc>
          <w:tcPr>
            <w:tcW w:w="9185" w:type="dxa"/>
            <w:tcMar/>
          </w:tcPr>
          <w:p w:rsidRPr="00A92F90" w:rsidR="00AD52DB" w:rsidP="602BCC9E" w:rsidRDefault="00AD52DB" w14:paraId="4B5823D6" w14:textId="4AED1E9A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02BCC9E" w:rsidR="420728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Know about an aspect or theme in British history which extends beyond 1066 and explain why this was important in relation to British history.</w:t>
            </w:r>
          </w:p>
          <w:p w:rsidRPr="00A92F90" w:rsidR="00AD52DB" w:rsidP="602BCC9E" w:rsidRDefault="00AD52DB" w14:paraId="77D8BED2" w14:textId="5FE3D762">
            <w:pPr>
              <w:pStyle w:val="Normal"/>
              <w:numPr>
                <w:ilvl w:val="0"/>
                <w:numId w:val="1"/>
              </w:num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02BCC9E" w:rsidR="420728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Know about a period of history that has strong connections to their locality and understand the issues associated with the period.</w:t>
            </w:r>
          </w:p>
          <w:p w:rsidRPr="00A92F90" w:rsidR="00AD52DB" w:rsidP="602BCC9E" w:rsidRDefault="00AD52DB" w14:paraId="5FE739BE" w14:textId="2F484DCD">
            <w:pPr>
              <w:pStyle w:val="Normal"/>
              <w:numPr>
                <w:ilvl w:val="0"/>
                <w:numId w:val="1"/>
              </w:num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02BCC9E" w:rsidR="420728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Know how to learn more about a historical period through asking relevant questions </w:t>
            </w:r>
          </w:p>
          <w:p w:rsidRPr="00A92F90" w:rsidR="00AD52DB" w:rsidP="602BCC9E" w:rsidRDefault="00AD52DB" w14:paraId="416E1D06" w14:textId="09E5ED87">
            <w:pPr>
              <w:pStyle w:val="ListParagraph"/>
              <w:numPr>
                <w:ilvl w:val="0"/>
                <w:numId w:val="1"/>
              </w:numPr>
              <w:tabs>
                <w:tab w:val="clear" w:leader="none" w:pos="720"/>
                <w:tab w:val="num" w:leader="none" w:pos="177"/>
              </w:tabs>
              <w:spacing w:after="200" w:line="276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02BCC9E" w:rsidR="420728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 how to ask questions about artefacts / sources of information to question the validity and reliability of these.</w:t>
            </w:r>
          </w:p>
        </w:tc>
      </w:tr>
      <w:tr w:rsidRPr="00A92F90" w:rsidR="00397C10" w:rsidTr="602BCC9E" w14:paraId="179834C8" w14:textId="77777777">
        <w:tc>
          <w:tcPr>
            <w:tcW w:w="1271" w:type="dxa"/>
            <w:tcMar/>
          </w:tcPr>
          <w:p w:rsidRPr="00D13065" w:rsidR="00397C10" w:rsidP="00397C10" w:rsidRDefault="00AD52DB" w14:paraId="47E2D10E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9185" w:type="dxa"/>
            <w:tcMar/>
          </w:tcPr>
          <w:p w:rsidRPr="00A92F90" w:rsidR="005A6A7C" w:rsidP="00A92F90" w:rsidRDefault="005A6A7C" w14:paraId="76904446" w14:textId="3C17EF19">
            <w:pPr>
              <w:pStyle w:val="ListParagraph"/>
              <w:numPr>
                <w:ilvl w:val="0"/>
                <w:numId w:val="1"/>
              </w:numPr>
              <w:rPr/>
            </w:pPr>
            <w:r w:rsidR="31D1DBA1">
              <w:rPr/>
              <w:t>Know where important local places are that are linked to the Tudors: Leicester, Bosworth, Bradgate Park.</w:t>
            </w:r>
          </w:p>
        </w:tc>
      </w:tr>
      <w:tr w:rsidRPr="00FA734B" w:rsidR="00397C10" w:rsidTr="602BCC9E" w14:paraId="3F38C86D" w14:textId="77777777">
        <w:tc>
          <w:tcPr>
            <w:tcW w:w="1271" w:type="dxa"/>
            <w:tcMar/>
          </w:tcPr>
          <w:p w:rsidRPr="00D13065" w:rsidR="00397C10" w:rsidP="00397C10" w:rsidRDefault="00AD52DB" w14:paraId="452DA02B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9185" w:type="dxa"/>
            <w:tcMar/>
          </w:tcPr>
          <w:p w:rsidR="00356916" w:rsidP="00A92F90" w:rsidRDefault="00343100" w14:paraId="2CE22952" w14:textId="7E9CA3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02BCC9E" w:rsidR="00343100">
              <w:rPr>
                <w:sz w:val="20"/>
                <w:szCs w:val="20"/>
              </w:rPr>
              <w:t>Sculpting</w:t>
            </w:r>
            <w:r w:rsidRPr="602BCC9E" w:rsidR="00343100">
              <w:rPr>
                <w:sz w:val="20"/>
                <w:szCs w:val="20"/>
              </w:rPr>
              <w:t xml:space="preserve"> a </w:t>
            </w:r>
            <w:r w:rsidRPr="602BCC9E" w:rsidR="00343100">
              <w:rPr>
                <w:sz w:val="20"/>
                <w:szCs w:val="20"/>
              </w:rPr>
              <w:t xml:space="preserve">3D </w:t>
            </w:r>
            <w:r w:rsidRPr="602BCC9E" w:rsidR="00343100">
              <w:rPr>
                <w:sz w:val="20"/>
                <w:szCs w:val="20"/>
              </w:rPr>
              <w:t>model of a Tudor rose from clay.</w:t>
            </w:r>
            <w:r w:rsidRPr="602BCC9E" w:rsidR="00343100">
              <w:rPr>
                <w:sz w:val="20"/>
                <w:szCs w:val="20"/>
              </w:rPr>
              <w:t xml:space="preserve"> </w:t>
            </w:r>
            <w:r w:rsidRPr="602BCC9E" w:rsidR="00356916">
              <w:rPr>
                <w:sz w:val="20"/>
                <w:szCs w:val="20"/>
              </w:rPr>
              <w:t xml:space="preserve">Make a slip to join pieces of clay.  </w:t>
            </w:r>
            <w:r w:rsidRPr="602BCC9E" w:rsidR="00343100">
              <w:rPr>
                <w:sz w:val="20"/>
                <w:szCs w:val="20"/>
              </w:rPr>
              <w:t xml:space="preserve">Use pinch </w:t>
            </w:r>
            <w:proofErr w:type="spellStart"/>
            <w:r w:rsidRPr="602BCC9E" w:rsidR="00343100">
              <w:rPr>
                <w:sz w:val="20"/>
                <w:szCs w:val="20"/>
              </w:rPr>
              <w:t xml:space="preserve">techniques. </w:t>
            </w:r>
            <w:proofErr w:type="spellEnd"/>
            <w:r w:rsidRPr="602BCC9E" w:rsidR="00343100">
              <w:rPr>
                <w:sz w:val="20"/>
                <w:szCs w:val="20"/>
              </w:rPr>
              <w:t xml:space="preserve">Care for sculpting tools and secure materials for continued use at a later date. </w:t>
            </w:r>
            <w:r w:rsidRPr="602BCC9E" w:rsidR="00356916">
              <w:rPr>
                <w:sz w:val="20"/>
                <w:szCs w:val="20"/>
              </w:rPr>
              <w:t xml:space="preserve"> </w:t>
            </w:r>
          </w:p>
          <w:p w:rsidRPr="00BC3292" w:rsidR="00AD52DB" w:rsidP="00397C10" w:rsidRDefault="00343100" w14:paraId="6E7CA7A8" w14:textId="61553E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02BCC9E" w:rsidR="00343100">
              <w:rPr>
                <w:sz w:val="20"/>
                <w:szCs w:val="20"/>
              </w:rPr>
              <w:t>Use mixed media to sketch and then paint a royal portrait in the style of Tudor artists.  Experiment with different techniques including blocking in colour, washes, thickened paint. Begin to work in the style of an artist. Use a sketchbook to record media explorations as well as planning and collecting source material for future works.</w:t>
            </w:r>
          </w:p>
        </w:tc>
      </w:tr>
    </w:tbl>
    <w:p w:rsidRPr="00FA734B" w:rsidR="00397C10" w:rsidP="00397C10" w:rsidRDefault="00397C10" w14:paraId="006DC2C3" w14:textId="77777777">
      <w:pPr>
        <w:rPr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8866"/>
      </w:tblGrid>
      <w:tr w:rsidRPr="00FA734B" w:rsidR="00AD52DB" w:rsidTr="602BCC9E" w14:paraId="6BAB8453" w14:textId="77777777">
        <w:tc>
          <w:tcPr>
            <w:tcW w:w="1590" w:type="dxa"/>
            <w:tcMar/>
          </w:tcPr>
          <w:p w:rsidRPr="00FA734B" w:rsidR="00AD52DB" w:rsidP="00AD52DB" w:rsidRDefault="00AD52DB" w14:paraId="0DD5590F" w14:textId="77777777">
            <w:pPr>
              <w:rPr>
                <w:sz w:val="28"/>
                <w:szCs w:val="28"/>
              </w:rPr>
            </w:pPr>
          </w:p>
        </w:tc>
        <w:tc>
          <w:tcPr>
            <w:tcW w:w="8866" w:type="dxa"/>
            <w:tcMar/>
          </w:tcPr>
          <w:p w:rsidRPr="00D13065" w:rsidR="00AD52DB" w:rsidP="00AD52DB" w:rsidRDefault="00AD52DB" w14:paraId="4CC639FD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Other areas of the curriculum – not related to the topic</w:t>
            </w:r>
          </w:p>
        </w:tc>
      </w:tr>
      <w:tr w:rsidRPr="00FA734B" w:rsidR="00AD52DB" w:rsidTr="602BCC9E" w14:paraId="738D8979" w14:textId="77777777">
        <w:tc>
          <w:tcPr>
            <w:tcW w:w="1590" w:type="dxa"/>
            <w:tcMar/>
          </w:tcPr>
          <w:p w:rsidR="00AD52DB" w:rsidP="00AD52DB" w:rsidRDefault="00AD52DB" w14:paraId="02C2ACCE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Maths</w:t>
            </w:r>
          </w:p>
          <w:p w:rsidR="00F72F54" w:rsidP="00AD52DB" w:rsidRDefault="00F72F54" w14:paraId="5D920890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Place Value</w:t>
            </w:r>
          </w:p>
          <w:p w:rsidRPr="00F72F54" w:rsidR="00F72F54" w:rsidP="00AD52DB" w:rsidRDefault="00F72F54" w14:paraId="2E004B68" w14:textId="18CFC4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Addition and Subtraction</w:t>
            </w:r>
          </w:p>
        </w:tc>
        <w:tc>
          <w:tcPr>
            <w:tcW w:w="8866" w:type="dxa"/>
            <w:tcMar/>
          </w:tcPr>
          <w:p w:rsidRPr="00A4191E" w:rsidR="00AD52DB" w:rsidP="00A4191E" w:rsidRDefault="00F72F54" w14:paraId="4AFF74A0" w14:textId="1AFAF726">
            <w:pPr>
              <w:rPr>
                <w:sz w:val="28"/>
                <w:szCs w:val="28"/>
              </w:rPr>
            </w:pPr>
            <w:r w:rsidRPr="00A4191E">
              <w:rPr>
                <w:b/>
                <w:bCs/>
                <w:sz w:val="21"/>
                <w:szCs w:val="21"/>
              </w:rPr>
              <w:t>Year 3</w:t>
            </w:r>
            <w:r w:rsidRPr="00A4191E">
              <w:rPr>
                <w:sz w:val="21"/>
                <w:szCs w:val="21"/>
              </w:rPr>
              <w:t xml:space="preserve"> – To represent, partition, order and compare numbers to 1000 using a variety of different representations including the number line.</w:t>
            </w:r>
          </w:p>
          <w:p w:rsidR="00F72F54" w:rsidP="00F72F54" w:rsidRDefault="00F72F54" w14:paraId="28E8338A" w14:textId="0B02F4F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72F54">
              <w:rPr>
                <w:sz w:val="20"/>
                <w:szCs w:val="20"/>
              </w:rPr>
              <w:t>To count in 50s</w:t>
            </w:r>
          </w:p>
          <w:p w:rsidR="004C1F12" w:rsidP="00F72F54" w:rsidRDefault="004C1F12" w14:paraId="0B7C2782" w14:textId="1F015C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add 1s, 10s and 100s to a 3-digit number</w:t>
            </w:r>
          </w:p>
          <w:p w:rsidRPr="00F72F54" w:rsidR="004C1F12" w:rsidP="00F72F54" w:rsidRDefault="004C1F12" w14:paraId="12416941" w14:textId="4E86B1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2C03D21B">
              <w:rPr>
                <w:sz w:val="20"/>
                <w:szCs w:val="20"/>
              </w:rPr>
              <w:t xml:space="preserve">To add and subtract </w:t>
            </w:r>
            <w:proofErr w:type="gramStart"/>
            <w:r w:rsidRPr="2C03D21B">
              <w:rPr>
                <w:sz w:val="20"/>
                <w:szCs w:val="20"/>
              </w:rPr>
              <w:t>3 digit</w:t>
            </w:r>
            <w:proofErr w:type="gramEnd"/>
            <w:r w:rsidRPr="2C03D21B">
              <w:rPr>
                <w:sz w:val="20"/>
                <w:szCs w:val="20"/>
              </w:rPr>
              <w:t xml:space="preserve"> numbers including the use of exchange and formal written methods</w:t>
            </w:r>
          </w:p>
          <w:p w:rsidRPr="00A4191E" w:rsidR="00F72F54" w:rsidP="00A4191E" w:rsidRDefault="00F72F54" w14:paraId="76F79982" w14:textId="3EB482B8">
            <w:pPr>
              <w:rPr>
                <w:sz w:val="28"/>
                <w:szCs w:val="28"/>
              </w:rPr>
            </w:pPr>
            <w:r w:rsidRPr="00A4191E">
              <w:rPr>
                <w:b/>
                <w:bCs/>
                <w:sz w:val="21"/>
                <w:szCs w:val="21"/>
              </w:rPr>
              <w:t>Year</w:t>
            </w:r>
            <w:r w:rsidRPr="00A4191E" w:rsidR="004C1F12">
              <w:rPr>
                <w:b/>
                <w:bCs/>
                <w:sz w:val="21"/>
                <w:szCs w:val="21"/>
              </w:rPr>
              <w:t xml:space="preserve"> </w:t>
            </w:r>
            <w:r w:rsidRPr="00A4191E">
              <w:rPr>
                <w:b/>
                <w:bCs/>
                <w:sz w:val="21"/>
                <w:szCs w:val="21"/>
              </w:rPr>
              <w:t>4</w:t>
            </w:r>
            <w:r w:rsidRPr="00A4191E">
              <w:rPr>
                <w:sz w:val="21"/>
                <w:szCs w:val="21"/>
              </w:rPr>
              <w:t xml:space="preserve"> – To represent, partition, order and compare numbers to 10,000 using a variety of different representations including the number line.</w:t>
            </w:r>
          </w:p>
          <w:p w:rsidRPr="00F72F54" w:rsidR="00F72F54" w:rsidP="00F72F54" w:rsidRDefault="00F72F54" w14:paraId="1BD1FE29" w14:textId="7777777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72F54">
              <w:rPr>
                <w:sz w:val="20"/>
                <w:szCs w:val="20"/>
              </w:rPr>
              <w:t>To use Roman numerals</w:t>
            </w:r>
          </w:p>
          <w:p w:rsidRPr="004C1F12" w:rsidR="00F72F54" w:rsidP="00F72F54" w:rsidRDefault="00F72F54" w14:paraId="759564A0" w14:textId="7777777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72F54">
              <w:rPr>
                <w:sz w:val="20"/>
                <w:szCs w:val="20"/>
              </w:rPr>
              <w:t>To round numbers to 10,000</w:t>
            </w:r>
          </w:p>
          <w:p w:rsidRPr="004C1F12" w:rsidR="004C1F12" w:rsidP="00F72F54" w:rsidRDefault="004C1F12" w14:paraId="7C51E4E2" w14:textId="7777777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1F12">
              <w:rPr>
                <w:sz w:val="20"/>
                <w:szCs w:val="20"/>
              </w:rPr>
              <w:t xml:space="preserve">To add 1s, </w:t>
            </w:r>
            <w:proofErr w:type="gramStart"/>
            <w:r w:rsidRPr="004C1F12">
              <w:rPr>
                <w:sz w:val="20"/>
                <w:szCs w:val="20"/>
              </w:rPr>
              <w:t>10,s</w:t>
            </w:r>
            <w:proofErr w:type="gramEnd"/>
            <w:r w:rsidRPr="004C1F12">
              <w:rPr>
                <w:sz w:val="20"/>
                <w:szCs w:val="20"/>
              </w:rPr>
              <w:t xml:space="preserve"> 100s, and 1000s to a 4-digit number</w:t>
            </w:r>
          </w:p>
          <w:p w:rsidRPr="00F72F54" w:rsidR="004C1F12" w:rsidP="00F72F54" w:rsidRDefault="004C1F12" w14:paraId="5C5993F2" w14:textId="09AE714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C1F12">
              <w:rPr>
                <w:sz w:val="20"/>
                <w:szCs w:val="20"/>
              </w:rPr>
              <w:t xml:space="preserve">To add and subtract </w:t>
            </w:r>
            <w:proofErr w:type="gramStart"/>
            <w:r w:rsidRPr="004C1F12">
              <w:rPr>
                <w:sz w:val="20"/>
                <w:szCs w:val="20"/>
              </w:rPr>
              <w:t>4 digit</w:t>
            </w:r>
            <w:proofErr w:type="gramEnd"/>
            <w:r w:rsidRPr="004C1F12">
              <w:rPr>
                <w:sz w:val="20"/>
                <w:szCs w:val="20"/>
              </w:rPr>
              <w:t xml:space="preserve"> numbers including the use of exchange and formal written methods.</w:t>
            </w:r>
          </w:p>
        </w:tc>
      </w:tr>
      <w:tr w:rsidRPr="00FA734B" w:rsidR="00AD52DB" w:rsidTr="602BCC9E" w14:paraId="6E853803" w14:textId="77777777">
        <w:tc>
          <w:tcPr>
            <w:tcW w:w="1590" w:type="dxa"/>
            <w:tcMar/>
          </w:tcPr>
          <w:p w:rsidR="00AD52DB" w:rsidP="00AD52DB" w:rsidRDefault="00AD52DB" w14:paraId="05E8DEBF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Science</w:t>
            </w:r>
          </w:p>
          <w:p w:rsidRPr="004C1F12" w:rsidR="004C1F12" w:rsidP="00AD52DB" w:rsidRDefault="00343100" w14:paraId="17DFC9A4" w14:textId="10E489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Forces and Magnets</w:t>
            </w:r>
          </w:p>
        </w:tc>
        <w:tc>
          <w:tcPr>
            <w:tcW w:w="8866" w:type="dxa"/>
            <w:tcMar/>
          </w:tcPr>
          <w:p w:rsidRPr="00A4191E" w:rsidR="00AD52DB" w:rsidP="00A4191E" w:rsidRDefault="00A4191E" w14:paraId="0EEDA15D" w14:textId="77777777">
            <w:p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t>We will:</w:t>
            </w:r>
          </w:p>
          <w:p w:rsidR="00A4191E" w:rsidP="00A4191E" w:rsidRDefault="00A4191E" w14:paraId="409A5C76" w14:textId="7777777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t>Know that a force can be thought of as a push or a pull</w:t>
            </w:r>
            <w:r>
              <w:rPr>
                <w:rFonts w:cstheme="minorHAnsi"/>
                <w:bCs/>
                <w:sz w:val="20"/>
              </w:rPr>
              <w:t>.</w:t>
            </w:r>
          </w:p>
          <w:p w:rsidR="00A4191E" w:rsidP="602BCC9E" w:rsidRDefault="00A4191E" w14:paraId="2E8E9A4F" w14:textId="77777777">
            <w:pPr>
              <w:pStyle w:val="ListParagraph"/>
              <w:numPr>
                <w:ilvl w:val="0"/>
                <w:numId w:val="15"/>
              </w:numPr>
              <w:rPr>
                <w:rFonts w:cs="Calibri" w:cstheme="minorAscii"/>
                <w:sz w:val="20"/>
                <w:szCs w:val="20"/>
              </w:rPr>
            </w:pPr>
            <w:r w:rsidRPr="602BCC9E" w:rsidR="12C55925">
              <w:rPr>
                <w:rFonts w:cs="Calibri" w:cstheme="minorAscii"/>
                <w:sz w:val="20"/>
                <w:szCs w:val="20"/>
              </w:rPr>
              <w:t>Know</w:t>
            </w:r>
            <w:r w:rsidRPr="602BCC9E" w:rsidR="12C55925">
              <w:rPr>
                <w:rFonts w:cs="Calibri" w:cstheme="minorAscii"/>
                <w:sz w:val="20"/>
                <w:szCs w:val="20"/>
              </w:rPr>
              <w:t xml:space="preserve"> that there are three types of contact force: impact forces (when two surfaces collide), frictional forces (when two surfaces are already in contact) and strain forces (when an elastic material is stretched or squashed).</w:t>
            </w:r>
          </w:p>
          <w:p w:rsidR="00A4191E" w:rsidP="00A4191E" w:rsidRDefault="00A4191E" w14:paraId="0098BE10" w14:textId="7777777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t>Know that objects move differently on rough and smooth surfaces; objects resist movement more on rough surfaces because there is higher friction as the object moves</w:t>
            </w:r>
            <w:r>
              <w:rPr>
                <w:rFonts w:cstheme="minorHAnsi"/>
                <w:bCs/>
                <w:sz w:val="20"/>
              </w:rPr>
              <w:t>.</w:t>
            </w:r>
          </w:p>
          <w:p w:rsidR="00A4191E" w:rsidP="00A4191E" w:rsidRDefault="00A4191E" w14:paraId="16CA08C8" w14:textId="7777777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t>Know that there are also non-contact forces that can act between objects without them touching and that magnetism is an example of a non-contact force Know that magnets have two poles called north and south</w:t>
            </w:r>
            <w:r>
              <w:rPr>
                <w:rFonts w:cstheme="minorHAnsi"/>
                <w:bCs/>
                <w:sz w:val="20"/>
              </w:rPr>
              <w:t>.</w:t>
            </w:r>
          </w:p>
          <w:p w:rsidR="00A4191E" w:rsidP="00A4191E" w:rsidRDefault="00A4191E" w14:paraId="67AC455A" w14:textId="7777777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lastRenderedPageBreak/>
              <w:t>Know that like poles (south-south and north-north) of two magnets repel each other and that opposite poles of two magnets (north-south) attract each other</w:t>
            </w:r>
            <w:r>
              <w:rPr>
                <w:rFonts w:cstheme="minorHAnsi"/>
                <w:bCs/>
                <w:sz w:val="20"/>
              </w:rPr>
              <w:t>.</w:t>
            </w:r>
          </w:p>
          <w:p w:rsidR="00A4191E" w:rsidP="00A4191E" w:rsidRDefault="00A4191E" w14:paraId="54BC1246" w14:textId="7777777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t>Know that there is a magnetic field around a magnet which is strongest at each pole</w:t>
            </w:r>
            <w:r>
              <w:rPr>
                <w:rFonts w:cstheme="minorHAnsi"/>
                <w:bCs/>
                <w:sz w:val="20"/>
              </w:rPr>
              <w:t>.</w:t>
            </w:r>
          </w:p>
          <w:p w:rsidRPr="00A4191E" w:rsidR="00A4191E" w:rsidP="00A4191E" w:rsidRDefault="00A4191E" w14:paraId="7F475498" w14:textId="79B824C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</w:rPr>
            </w:pPr>
            <w:r w:rsidRPr="00A4191E">
              <w:rPr>
                <w:rFonts w:cstheme="minorHAnsi"/>
                <w:bCs/>
                <w:sz w:val="20"/>
              </w:rPr>
              <w:t>Know that some materials are magnetic, meaning that they are attracted to a magnet, while other materials are non-magnetic</w:t>
            </w:r>
            <w:r>
              <w:rPr>
                <w:rFonts w:cstheme="minorHAnsi"/>
                <w:bCs/>
                <w:sz w:val="20"/>
              </w:rPr>
              <w:t>.</w:t>
            </w:r>
          </w:p>
        </w:tc>
      </w:tr>
      <w:tr w:rsidRPr="00FA734B" w:rsidR="00AD52DB" w:rsidTr="602BCC9E" w14:paraId="0585D011" w14:textId="77777777">
        <w:tc>
          <w:tcPr>
            <w:tcW w:w="1590" w:type="dxa"/>
            <w:tcMar/>
          </w:tcPr>
          <w:p w:rsidR="00AD52DB" w:rsidP="00AD52DB" w:rsidRDefault="00AD52DB" w14:paraId="6F84279F" w14:textId="26F0C160">
            <w:pPr>
              <w:rPr>
                <w:b/>
                <w:sz w:val="28"/>
                <w:szCs w:val="28"/>
              </w:rPr>
            </w:pPr>
            <w:r w:rsidRPr="602BCC9E" w:rsidR="00AD52DB">
              <w:rPr>
                <w:b w:val="1"/>
                <w:bCs w:val="1"/>
                <w:sz w:val="28"/>
                <w:szCs w:val="28"/>
              </w:rPr>
              <w:t>RE</w:t>
            </w:r>
            <w:r w:rsidRPr="602BCC9E" w:rsidR="66B71727">
              <w:rPr>
                <w:b w:val="1"/>
                <w:bCs w:val="1"/>
                <w:sz w:val="28"/>
                <w:szCs w:val="28"/>
              </w:rPr>
              <w:t xml:space="preserve"> –</w:t>
            </w:r>
          </w:p>
          <w:p w:rsidR="665ACBF6" w:rsidP="602BCC9E" w:rsidRDefault="665ACBF6" w14:paraId="67FE90D1" w14:textId="006D2463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02BCC9E" w:rsidR="665ACBF6">
              <w:rPr>
                <w:b w:val="0"/>
                <w:bCs w:val="0"/>
                <w:sz w:val="20"/>
                <w:szCs w:val="20"/>
              </w:rPr>
              <w:t>Understanding Christianity – Incarnation/God What is the Trinity?</w:t>
            </w:r>
          </w:p>
          <w:p w:rsidRPr="00522E1F" w:rsidR="00522E1F" w:rsidP="00AD52DB" w:rsidRDefault="00522E1F" w14:paraId="07C2C168" w14:textId="789E523C">
            <w:pPr>
              <w:rPr>
                <w:sz w:val="20"/>
                <w:szCs w:val="20"/>
              </w:rPr>
            </w:pPr>
          </w:p>
        </w:tc>
        <w:tc>
          <w:tcPr>
            <w:tcW w:w="8866" w:type="dxa"/>
            <w:tcMar/>
          </w:tcPr>
          <w:p w:rsidRPr="00522E1F" w:rsidR="00816627" w:rsidP="602BCC9E" w:rsidRDefault="00816627" w14:paraId="7393C7F5" w14:textId="0D90EA05">
            <w:pPr>
              <w:rPr>
                <w:sz w:val="20"/>
                <w:szCs w:val="20"/>
              </w:rPr>
            </w:pPr>
            <w:r w:rsidRPr="602BCC9E" w:rsidR="3FBBE132">
              <w:rPr>
                <w:sz w:val="20"/>
                <w:szCs w:val="20"/>
              </w:rPr>
              <w:t>We will</w:t>
            </w:r>
          </w:p>
          <w:p w:rsidRPr="00522E1F" w:rsidR="00816627" w:rsidP="602BCC9E" w:rsidRDefault="00816627" w14:paraId="31119EF1" w14:textId="5258998D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3FBBE132">
              <w:rPr>
                <w:noProof w:val="0"/>
                <w:sz w:val="20"/>
                <w:szCs w:val="20"/>
                <w:lang w:val="en-GB"/>
              </w:rPr>
              <w:t>Identify</w:t>
            </w:r>
            <w:r w:rsidRPr="602BCC9E" w:rsidR="3FBBE132">
              <w:rPr>
                <w:noProof w:val="0"/>
                <w:sz w:val="20"/>
                <w:szCs w:val="20"/>
                <w:lang w:val="en-GB"/>
              </w:rPr>
              <w:t xml:space="preserve"> the difference between a ‘Gospel</w:t>
            </w:r>
            <w:r w:rsidRPr="602BCC9E" w:rsidR="3FBBE132">
              <w:rPr>
                <w:noProof w:val="0"/>
                <w:sz w:val="20"/>
                <w:szCs w:val="20"/>
                <w:lang w:val="en-GB"/>
              </w:rPr>
              <w:t>’,</w:t>
            </w:r>
            <w:r w:rsidRPr="602BCC9E" w:rsidR="3FBBE132">
              <w:rPr>
                <w:noProof w:val="0"/>
                <w:sz w:val="20"/>
                <w:szCs w:val="20"/>
                <w:lang w:val="en-GB"/>
              </w:rPr>
              <w:t xml:space="preserve"> which tells the story of the life and teaching of Jesus, and a letter. </w:t>
            </w:r>
          </w:p>
          <w:p w:rsidRPr="00522E1F" w:rsidR="00816627" w:rsidP="602BCC9E" w:rsidRDefault="00816627" w14:paraId="3B1F5094" w14:textId="33E1B15B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3FBBE132">
              <w:rPr>
                <w:noProof w:val="0"/>
                <w:sz w:val="20"/>
                <w:szCs w:val="20"/>
                <w:lang w:val="en-GB"/>
              </w:rPr>
              <w:t xml:space="preserve">Offer suggestions about what texts about baptism and Trinity might mean. </w:t>
            </w:r>
          </w:p>
          <w:p w:rsidRPr="00522E1F" w:rsidR="00816627" w:rsidP="602BCC9E" w:rsidRDefault="00816627" w14:paraId="5EF5F912" w14:textId="31B92D6D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3FBBE132">
              <w:rPr>
                <w:noProof w:val="0"/>
                <w:sz w:val="20"/>
                <w:szCs w:val="20"/>
                <w:lang w:val="en-GB"/>
              </w:rPr>
              <w:t xml:space="preserve"> Describe how Christians show their beliefs about God the Trinity in worship (in baptism and prayer, for example) and in the way they live.</w:t>
            </w:r>
          </w:p>
          <w:p w:rsidRPr="00522E1F" w:rsidR="00816627" w:rsidP="602BCC9E" w:rsidRDefault="00816627" w14:paraId="1BD9F207" w14:textId="0E597192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3FBBE132">
              <w:rPr>
                <w:noProof w:val="0"/>
                <w:sz w:val="20"/>
                <w:szCs w:val="20"/>
                <w:lang w:val="en-GB"/>
              </w:rPr>
              <w:t xml:space="preserve"> Make links between some Bible texts studied and the idea of God in Christianity, </w:t>
            </w:r>
            <w:r w:rsidRPr="602BCC9E" w:rsidR="3FBBE132">
              <w:rPr>
                <w:noProof w:val="0"/>
                <w:sz w:val="20"/>
                <w:szCs w:val="20"/>
                <w:lang w:val="en-GB"/>
              </w:rPr>
              <w:t>expressing clearly</w:t>
            </w:r>
            <w:r w:rsidRPr="602BCC9E" w:rsidR="3FBBE132">
              <w:rPr>
                <w:noProof w:val="0"/>
                <w:sz w:val="20"/>
                <w:szCs w:val="20"/>
                <w:lang w:val="en-GB"/>
              </w:rPr>
              <w:t xml:space="preserve"> some ideas of their own about what the God of Christianity is like.</w:t>
            </w:r>
          </w:p>
          <w:p w:rsidRPr="00522E1F" w:rsidR="00816627" w:rsidP="602BCC9E" w:rsidRDefault="00816627" w14:paraId="55825F10" w14:textId="23F508B0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6C997B69">
              <w:rPr>
                <w:noProof w:val="0"/>
                <w:sz w:val="20"/>
                <w:szCs w:val="20"/>
                <w:lang w:val="en-GB"/>
              </w:rPr>
              <w:t>Give examples of what these texts mean to some Christians today.</w:t>
            </w:r>
          </w:p>
        </w:tc>
      </w:tr>
      <w:tr w:rsidRPr="00FA734B" w:rsidR="00AD52DB" w:rsidTr="602BCC9E" w14:paraId="03DD9529" w14:textId="77777777">
        <w:tc>
          <w:tcPr>
            <w:tcW w:w="1590" w:type="dxa"/>
            <w:tcMar/>
          </w:tcPr>
          <w:p w:rsidRPr="00D13065" w:rsidR="00AD52DB" w:rsidP="602BCC9E" w:rsidRDefault="00AD52DB" w14:noSpellErr="1" w14:paraId="0C137392" w14:textId="48AD8610">
            <w:pPr>
              <w:rPr>
                <w:b w:val="1"/>
                <w:bCs w:val="1"/>
                <w:sz w:val="28"/>
                <w:szCs w:val="28"/>
              </w:rPr>
            </w:pPr>
            <w:r w:rsidRPr="602BCC9E" w:rsidR="00AD52DB">
              <w:rPr>
                <w:b w:val="1"/>
                <w:bCs w:val="1"/>
                <w:sz w:val="28"/>
                <w:szCs w:val="28"/>
              </w:rPr>
              <w:t>PSHE</w:t>
            </w:r>
            <w:r w:rsidRPr="602BCC9E" w:rsidR="17867875">
              <w:rPr>
                <w:b w:val="1"/>
                <w:bCs w:val="1"/>
                <w:sz w:val="28"/>
                <w:szCs w:val="28"/>
              </w:rPr>
              <w:t xml:space="preserve"> – </w:t>
            </w:r>
          </w:p>
          <w:p w:rsidRPr="00D13065" w:rsidR="00AD52DB" w:rsidP="602BCC9E" w:rsidRDefault="00AD52DB" w14:paraId="3DF9E510" w14:textId="2C75E42F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02BCC9E" w:rsidR="26766616">
              <w:rPr>
                <w:b w:val="0"/>
                <w:bCs w:val="0"/>
                <w:sz w:val="20"/>
                <w:szCs w:val="20"/>
              </w:rPr>
              <w:t>Citizenship</w:t>
            </w:r>
          </w:p>
          <w:p w:rsidRPr="00D13065" w:rsidR="00AD52DB" w:rsidP="602BCC9E" w:rsidRDefault="00AD52DB" w14:paraId="798BDB30" w14:textId="2A248CA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02BCC9E" w:rsidR="26766616">
              <w:rPr>
                <w:b w:val="0"/>
                <w:bCs w:val="0"/>
                <w:sz w:val="20"/>
                <w:szCs w:val="20"/>
              </w:rPr>
              <w:t>Rights, Rules &amp; Responsibilities</w:t>
            </w:r>
          </w:p>
        </w:tc>
        <w:tc>
          <w:tcPr>
            <w:tcW w:w="8866" w:type="dxa"/>
            <w:tcMar/>
          </w:tcPr>
          <w:p w:rsidRPr="00816627" w:rsidR="00AD52DB" w:rsidP="602BCC9E" w:rsidRDefault="00AD52DB" w14:paraId="65C8BDEC" w14:textId="1F75C9CF">
            <w:pPr>
              <w:rPr>
                <w:sz w:val="20"/>
                <w:szCs w:val="20"/>
              </w:rPr>
            </w:pPr>
            <w:r w:rsidRPr="602BCC9E" w:rsidR="10F486B7">
              <w:rPr>
                <w:sz w:val="20"/>
                <w:szCs w:val="20"/>
              </w:rPr>
              <w:t>W</w:t>
            </w:r>
            <w:r w:rsidRPr="602BCC9E" w:rsidR="10F486B7">
              <w:rPr>
                <w:sz w:val="20"/>
                <w:szCs w:val="20"/>
              </w:rPr>
              <w:t>e will</w:t>
            </w:r>
            <w:r w:rsidRPr="602BCC9E" w:rsidR="16D9CDDA">
              <w:rPr>
                <w:sz w:val="20"/>
                <w:szCs w:val="20"/>
              </w:rPr>
              <w:t>:</w:t>
            </w:r>
          </w:p>
          <w:p w:rsidRPr="00816627" w:rsidR="00AD52DB" w:rsidP="602BCC9E" w:rsidRDefault="00AD52DB" w14:paraId="5193D42C" w14:textId="1656448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02BCC9E" w:rsidR="4733361F">
              <w:rPr>
                <w:sz w:val="20"/>
                <w:szCs w:val="20"/>
              </w:rPr>
              <w:t>Be able to explain the difference between wants and needs.</w:t>
            </w:r>
          </w:p>
          <w:p w:rsidRPr="00816627" w:rsidR="00AD52DB" w:rsidP="602BCC9E" w:rsidRDefault="00AD52DB" w14:paraId="55A5753E" w14:textId="0557B973">
            <w:pPr>
              <w:pStyle w:val="ListParagraph"/>
              <w:numPr>
                <w:ilvl w:val="0"/>
                <w:numId w:val="19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4733361F">
              <w:rPr>
                <w:noProof w:val="0"/>
                <w:sz w:val="20"/>
                <w:szCs w:val="20"/>
                <w:lang w:val="en-GB"/>
              </w:rPr>
              <w:t>Be able to explain why rights are important and that they come with responsibilities, at home and at school.</w:t>
            </w:r>
          </w:p>
          <w:p w:rsidRPr="00816627" w:rsidR="00AD52DB" w:rsidP="602BCC9E" w:rsidRDefault="00AD52DB" w14:paraId="604C848E" w14:textId="6EA6B3C8">
            <w:pPr>
              <w:pStyle w:val="ListParagraph"/>
              <w:numPr>
                <w:ilvl w:val="0"/>
                <w:numId w:val="19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Be able to express how it feels to be treated with respect and </w:t>
            </w:r>
            <w:r w:rsidRPr="602BCC9E" w:rsidR="4733361F">
              <w:rPr>
                <w:noProof w:val="0"/>
                <w:sz w:val="20"/>
                <w:szCs w:val="20"/>
                <w:lang w:val="en-GB"/>
              </w:rPr>
              <w:t>demonstrate</w:t>
            </w:r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 how to show respect for others, including those in positions of authority.</w:t>
            </w:r>
          </w:p>
          <w:p w:rsidRPr="00816627" w:rsidR="00AD52DB" w:rsidP="602BCC9E" w:rsidRDefault="00AD52DB" w14:paraId="2A0D537D" w14:textId="052AD6B3">
            <w:pPr>
              <w:pStyle w:val="ListParagraph"/>
              <w:numPr>
                <w:ilvl w:val="0"/>
                <w:numId w:val="19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Be able to explain why rules are needed and be able to </w:t>
            </w:r>
            <w:r w:rsidRPr="602BCC9E" w:rsidR="4733361F">
              <w:rPr>
                <w:noProof w:val="0"/>
                <w:sz w:val="20"/>
                <w:szCs w:val="20"/>
                <w:lang w:val="en-GB"/>
              </w:rPr>
              <w:t>identify</w:t>
            </w:r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 those which are necessary and useful.</w:t>
            </w:r>
          </w:p>
          <w:p w:rsidRPr="00816627" w:rsidR="00AD52DB" w:rsidP="602BCC9E" w:rsidRDefault="00AD52DB" w14:paraId="33F895EA" w14:textId="481339C8">
            <w:pPr>
              <w:pStyle w:val="ListParagraph"/>
              <w:numPr>
                <w:ilvl w:val="0"/>
                <w:numId w:val="19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4733361F">
              <w:rPr>
                <w:noProof w:val="0"/>
                <w:sz w:val="20"/>
                <w:szCs w:val="20"/>
                <w:lang w:val="en-GB"/>
              </w:rPr>
              <w:t>Participate in making class ground rules and show or explain what following the rules looks like.</w:t>
            </w:r>
          </w:p>
          <w:p w:rsidRPr="00816627" w:rsidR="00AD52DB" w:rsidP="602BCC9E" w:rsidRDefault="00AD52DB" w14:paraId="08FC812F" w14:textId="647C79FB">
            <w:pPr>
              <w:pStyle w:val="ListParagraph"/>
              <w:numPr>
                <w:ilvl w:val="0"/>
                <w:numId w:val="19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Suggest </w:t>
            </w:r>
            <w:r w:rsidRPr="602BCC9E" w:rsidR="4733361F">
              <w:rPr>
                <w:noProof w:val="0"/>
                <w:sz w:val="20"/>
                <w:szCs w:val="20"/>
                <w:lang w:val="en-GB"/>
              </w:rPr>
              <w:t>different ways</w:t>
            </w:r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 of </w:t>
            </w:r>
            <w:bookmarkStart w:name="_Int_anPLPKx9" w:id="1192524473"/>
            <w:r w:rsidRPr="602BCC9E" w:rsidR="4733361F">
              <w:rPr>
                <w:noProof w:val="0"/>
                <w:sz w:val="20"/>
                <w:szCs w:val="20"/>
                <w:lang w:val="en-GB"/>
              </w:rPr>
              <w:t>making a decision</w:t>
            </w:r>
            <w:bookmarkEnd w:id="1192524473"/>
            <w:r w:rsidRPr="602BCC9E" w:rsidR="4733361F">
              <w:rPr>
                <w:noProof w:val="0"/>
                <w:sz w:val="20"/>
                <w:szCs w:val="20"/>
                <w:lang w:val="en-GB"/>
              </w:rPr>
              <w:t xml:space="preserve"> and ways they can influence decision making in school, through simple debating and voting.</w:t>
            </w:r>
          </w:p>
          <w:p w:rsidRPr="00816627" w:rsidR="00AD52DB" w:rsidP="602BCC9E" w:rsidRDefault="00AD52DB" w14:paraId="0564B76D" w14:textId="23CF8B81">
            <w:pPr>
              <w:pStyle w:val="ListParagraph"/>
              <w:numPr>
                <w:ilvl w:val="0"/>
                <w:numId w:val="19"/>
              </w:numPr>
              <w:rPr>
                <w:noProof w:val="0"/>
                <w:sz w:val="20"/>
                <w:szCs w:val="20"/>
                <w:lang w:val="en-GB"/>
              </w:rPr>
            </w:pPr>
            <w:r w:rsidRPr="602BCC9E" w:rsidR="4733361F">
              <w:rPr>
                <w:noProof w:val="0"/>
                <w:sz w:val="20"/>
                <w:szCs w:val="20"/>
                <w:lang w:val="en-GB"/>
              </w:rPr>
              <w:t>Be  able to describe what a representative does.</w:t>
            </w:r>
          </w:p>
        </w:tc>
      </w:tr>
      <w:tr w:rsidRPr="00FA734B" w:rsidR="00AD52DB" w:rsidTr="602BCC9E" w14:paraId="28501634" w14:textId="77777777">
        <w:tc>
          <w:tcPr>
            <w:tcW w:w="1590" w:type="dxa"/>
            <w:tcMar/>
          </w:tcPr>
          <w:p w:rsidR="00AD52DB" w:rsidP="00AD52DB" w:rsidRDefault="00AD52DB" w14:paraId="69E18DF0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Computing</w:t>
            </w:r>
          </w:p>
          <w:p w:rsidRPr="00573A71" w:rsidR="004C1F12" w:rsidP="00AD52DB" w:rsidRDefault="00A4191E" w14:paraId="66B00116" w14:textId="7C4A05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Branching databases</w:t>
            </w:r>
          </w:p>
        </w:tc>
        <w:tc>
          <w:tcPr>
            <w:tcW w:w="8866" w:type="dxa"/>
            <w:tcMar/>
          </w:tcPr>
          <w:p w:rsidR="00AD52DB" w:rsidP="4CC9A350" w:rsidRDefault="00A4191E" w14:paraId="7897B433" w14:textId="7777777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We will:</w:t>
            </w:r>
          </w:p>
          <w:p w:rsidR="00A4191E" w:rsidP="00A4191E" w:rsidRDefault="00A4191E" w14:paraId="3108EEC1" w14:textId="7777777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Create questions with yes/no answers and use these to create two groups of objects separated by a single attribute.</w:t>
            </w:r>
          </w:p>
          <w:p w:rsidR="00A4191E" w:rsidP="00A4191E" w:rsidRDefault="00A4191E" w14:paraId="48F0BC2A" w14:textId="7777777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Select and group objects to create and test a branching database.</w:t>
            </w:r>
          </w:p>
          <w:p w:rsidR="00A4191E" w:rsidP="00A4191E" w:rsidRDefault="00A4191E" w14:paraId="3C4BAA5C" w14:textId="7777777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Explain why it is helpful for a database to be well structured.</w:t>
            </w:r>
          </w:p>
          <w:p w:rsidR="00A4191E" w:rsidP="00A4191E" w:rsidRDefault="00A4191E" w14:paraId="6AA673F5" w14:textId="7777777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Plan the structure of a branching database.</w:t>
            </w:r>
          </w:p>
          <w:p w:rsidRPr="00A4191E" w:rsidR="00A4191E" w:rsidP="00A4191E" w:rsidRDefault="00A4191E" w14:paraId="092695DE" w14:textId="3E597A8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Independently create a branching identification tool.</w:t>
            </w:r>
          </w:p>
        </w:tc>
      </w:tr>
      <w:tr w:rsidRPr="00FA734B" w:rsidR="00AD52DB" w:rsidTr="602BCC9E" w14:paraId="681E8151" w14:textId="77777777">
        <w:tc>
          <w:tcPr>
            <w:tcW w:w="1590" w:type="dxa"/>
            <w:tcMar/>
          </w:tcPr>
          <w:p w:rsidRPr="00D13065" w:rsidR="00AD52DB" w:rsidP="4CC9A350" w:rsidRDefault="00AD52DB" w14:paraId="18749884" w14:textId="6E68AF26">
            <w:pPr>
              <w:rPr>
                <w:b/>
                <w:bCs/>
                <w:sz w:val="28"/>
                <w:szCs w:val="28"/>
              </w:rPr>
            </w:pPr>
            <w:r w:rsidRPr="4CC9A350">
              <w:rPr>
                <w:b/>
                <w:bCs/>
                <w:sz w:val="28"/>
                <w:szCs w:val="28"/>
              </w:rPr>
              <w:t>PE</w:t>
            </w:r>
          </w:p>
          <w:p w:rsidRPr="00D13065" w:rsidR="00AD52DB" w:rsidP="4CC9A350" w:rsidRDefault="00AD52DB" w14:paraId="23709758" w14:textId="77104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6" w:type="dxa"/>
            <w:tcMar/>
          </w:tcPr>
          <w:p w:rsidRPr="00FA734B" w:rsidR="00AD52DB" w:rsidP="602BCC9E" w:rsidRDefault="00AD52DB" w14:paraId="41174B9F" w14:textId="208E66BC">
            <w:pPr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</w:pPr>
            <w:r w:rsidRPr="602BCC9E" w:rsidR="008571BD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We will:</w:t>
            </w:r>
          </w:p>
          <w:p w:rsidRPr="00FA734B" w:rsidR="00AD52DB" w:rsidP="602BCC9E" w:rsidRDefault="00AD52DB" w14:paraId="316AC544" w14:textId="76CF1248">
            <w:pPr>
              <w:pStyle w:val="ListParagraph"/>
              <w:numPr>
                <w:ilvl w:val="0"/>
                <w:numId w:val="22"/>
              </w:numPr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Pr="00FA734B" w:rsidR="00AD52DB" w:rsidTr="602BCC9E" w14:paraId="7D86366B" w14:textId="77777777">
        <w:tc>
          <w:tcPr>
            <w:tcW w:w="1590" w:type="dxa"/>
            <w:tcMar/>
          </w:tcPr>
          <w:p w:rsidR="00AD52DB" w:rsidP="00AD52DB" w:rsidRDefault="00AD52DB" w14:paraId="61C572E8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French</w:t>
            </w:r>
          </w:p>
          <w:p w:rsidRPr="00A16062" w:rsidR="00A16062" w:rsidP="00AD52DB" w:rsidRDefault="00343100" w14:paraId="7553E26E" w14:textId="3ED7E5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Bonjour!</w:t>
            </w:r>
          </w:p>
        </w:tc>
        <w:tc>
          <w:tcPr>
            <w:tcW w:w="8866" w:type="dxa"/>
            <w:tcMar/>
          </w:tcPr>
          <w:p w:rsidRPr="00343100" w:rsidR="00A16062" w:rsidP="4CC9A350" w:rsidRDefault="00A16062" w14:paraId="3D73EC51" w14:textId="66CB390C">
            <w:pPr>
              <w:rPr>
                <w:sz w:val="20"/>
                <w:szCs w:val="20"/>
              </w:rPr>
            </w:pPr>
            <w:r w:rsidRPr="00343100">
              <w:rPr>
                <w:sz w:val="20"/>
                <w:szCs w:val="20"/>
              </w:rPr>
              <w:t>We will</w:t>
            </w:r>
            <w:r w:rsidRPr="00343100" w:rsidR="00343100">
              <w:rPr>
                <w:sz w:val="20"/>
                <w:szCs w:val="20"/>
              </w:rPr>
              <w:t xml:space="preserve"> practise</w:t>
            </w:r>
            <w:r w:rsidRPr="00343100">
              <w:rPr>
                <w:sz w:val="20"/>
                <w:szCs w:val="20"/>
              </w:rPr>
              <w:t>:</w:t>
            </w:r>
          </w:p>
          <w:p w:rsidRPr="00343100" w:rsidR="00343100" w:rsidP="00343100" w:rsidRDefault="00343100" w14:paraId="7B8E9E53" w14:textId="10FC6BE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3100">
              <w:rPr>
                <w:rFonts w:cstheme="minorHAnsi"/>
                <w:sz w:val="20"/>
                <w:szCs w:val="20"/>
              </w:rPr>
              <w:t>Saying hello and goodbye.</w:t>
            </w:r>
          </w:p>
          <w:p w:rsidR="00A4191E" w:rsidP="00343100" w:rsidRDefault="00343100" w14:paraId="5540197E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3100">
              <w:rPr>
                <w:rFonts w:cstheme="minorHAnsi"/>
                <w:sz w:val="20"/>
                <w:szCs w:val="20"/>
              </w:rPr>
              <w:t>Asking and saying your name.</w:t>
            </w:r>
          </w:p>
          <w:p w:rsidR="00A4191E" w:rsidP="00343100" w:rsidRDefault="00343100" w14:paraId="2BC6164F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4191E">
              <w:rPr>
                <w:rFonts w:cstheme="minorHAnsi"/>
                <w:sz w:val="20"/>
                <w:szCs w:val="20"/>
              </w:rPr>
              <w:t>Asking and saying how you are.</w:t>
            </w:r>
          </w:p>
          <w:p w:rsidR="00A4191E" w:rsidP="00A4191E" w:rsidRDefault="00A4191E" w14:paraId="73CDA92E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4191E">
              <w:rPr>
                <w:rFonts w:cstheme="minorHAnsi"/>
                <w:sz w:val="20"/>
                <w:szCs w:val="20"/>
              </w:rPr>
              <w:t xml:space="preserve">Knowing the names of </w:t>
            </w:r>
            <w:r w:rsidRPr="00A4191E" w:rsidR="00343100">
              <w:rPr>
                <w:rFonts w:cstheme="minorHAnsi"/>
                <w:sz w:val="20"/>
                <w:szCs w:val="20"/>
              </w:rPr>
              <w:t>Musical instruments.</w:t>
            </w:r>
          </w:p>
          <w:p w:rsidRPr="00A4191E" w:rsidR="00AD52DB" w:rsidP="00A4191E" w:rsidRDefault="00A4191E" w14:paraId="2E228648" w14:textId="3D334A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4191E">
              <w:rPr>
                <w:rFonts w:cstheme="minorHAnsi"/>
                <w:sz w:val="20"/>
                <w:szCs w:val="20"/>
              </w:rPr>
              <w:t>Learning, using and reciting n</w:t>
            </w:r>
            <w:r w:rsidRPr="00A4191E" w:rsidR="00343100">
              <w:rPr>
                <w:rFonts w:cstheme="minorHAnsi"/>
                <w:sz w:val="20"/>
                <w:szCs w:val="20"/>
              </w:rPr>
              <w:t>umbers 1-10</w:t>
            </w:r>
          </w:p>
        </w:tc>
      </w:tr>
      <w:tr w:rsidRPr="00FA734B" w:rsidR="00AD52DB" w:rsidTr="602BCC9E" w14:paraId="055B82B5" w14:textId="77777777">
        <w:tc>
          <w:tcPr>
            <w:tcW w:w="1590" w:type="dxa"/>
            <w:tcMar/>
          </w:tcPr>
          <w:p w:rsidR="00522E1F" w:rsidP="00AD52DB" w:rsidRDefault="00AD52DB" w14:paraId="172161BF" w14:textId="4A53EA41">
            <w:pPr>
              <w:rPr>
                <w:b/>
                <w:sz w:val="28"/>
                <w:szCs w:val="28"/>
              </w:rPr>
            </w:pPr>
            <w:r w:rsidRPr="602BCC9E" w:rsidR="00AD52DB">
              <w:rPr>
                <w:b w:val="1"/>
                <w:bCs w:val="1"/>
                <w:sz w:val="28"/>
                <w:szCs w:val="28"/>
              </w:rPr>
              <w:t>Music</w:t>
            </w:r>
            <w:r w:rsidRPr="602BCC9E" w:rsidR="66B71727">
              <w:rPr>
                <w:b w:val="1"/>
                <w:bCs w:val="1"/>
                <w:sz w:val="28"/>
                <w:szCs w:val="28"/>
              </w:rPr>
              <w:t xml:space="preserve"> –</w:t>
            </w:r>
          </w:p>
          <w:p w:rsidR="2A7B5C1D" w:rsidP="602BCC9E" w:rsidRDefault="2A7B5C1D" w14:paraId="4AF93FC5" w14:textId="1164046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02BCC9E" w:rsidR="2A7B5C1D">
              <w:rPr>
                <w:b w:val="0"/>
                <w:bCs w:val="0"/>
                <w:sz w:val="20"/>
                <w:szCs w:val="20"/>
              </w:rPr>
              <w:t>Pulse</w:t>
            </w:r>
          </w:p>
          <w:p w:rsidRPr="00522E1F" w:rsidR="00522E1F" w:rsidP="00AD52DB" w:rsidRDefault="00522E1F" w14:paraId="20E2A4E7" w14:textId="0C76A096">
            <w:pPr>
              <w:rPr>
                <w:sz w:val="20"/>
                <w:szCs w:val="20"/>
              </w:rPr>
            </w:pPr>
          </w:p>
        </w:tc>
        <w:tc>
          <w:tcPr>
            <w:tcW w:w="8866" w:type="dxa"/>
            <w:tcMar/>
          </w:tcPr>
          <w:p w:rsidRPr="00522E1F" w:rsidR="00AD52DB" w:rsidP="602BCC9E" w:rsidRDefault="00AD52DB" w14:paraId="084D5939" w14:textId="0503EA18">
            <w:pPr>
              <w:rPr>
                <w:sz w:val="20"/>
                <w:szCs w:val="20"/>
              </w:rPr>
            </w:pPr>
            <w:r w:rsidRPr="602BCC9E" w:rsidR="383405DC">
              <w:rPr>
                <w:sz w:val="20"/>
                <w:szCs w:val="20"/>
              </w:rPr>
              <w:t>We will:</w:t>
            </w:r>
          </w:p>
          <w:p w:rsidRPr="00522E1F" w:rsidR="00AD52DB" w:rsidP="602BCC9E" w:rsidRDefault="00AD52DB" w14:paraId="4E5600A9" w14:textId="0687732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Learn about ostinatos and the importance of </w:t>
            </w: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maintaining</w:t>
            </w: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a steady pulse when performing the ostinatos. </w:t>
            </w:r>
          </w:p>
          <w:p w:rsidRPr="00522E1F" w:rsidR="00AD52DB" w:rsidP="602BCC9E" w:rsidRDefault="00AD52DB" w14:paraId="09ACF9C8" w14:textId="4F99A92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Explore and create a range of sounds to compose our own short rhythm to be used as an ostinato. </w:t>
            </w:r>
          </w:p>
          <w:p w:rsidRPr="00522E1F" w:rsidR="00AD52DB" w:rsidP="602BCC9E" w:rsidRDefault="00AD52DB" w14:paraId="28DAEC9C" w14:textId="752EC35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Practise our ostinatos and use them in a whole class performance where several rhythmic patterns are being played at once. </w:t>
            </w:r>
          </w:p>
          <w:p w:rsidRPr="00522E1F" w:rsidR="00AD52DB" w:rsidP="602BCC9E" w:rsidRDefault="00AD52DB" w14:paraId="31DCF97A" w14:textId="10A3B15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Visual cues will be explained, </w:t>
            </w: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created</w:t>
            </w:r>
            <w:r w:rsidRPr="602BCC9E" w:rsidR="15EB38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and used to conduct groups during their performances.</w:t>
            </w:r>
          </w:p>
        </w:tc>
      </w:tr>
    </w:tbl>
    <w:p w:rsidRPr="00FA734B" w:rsidR="00AD52DB" w:rsidP="00397C10" w:rsidRDefault="00AD52DB" w14:paraId="22B214E0" w14:textId="77777777">
      <w:pPr>
        <w:rPr>
          <w:sz w:val="28"/>
          <w:szCs w:val="28"/>
        </w:rPr>
      </w:pPr>
    </w:p>
    <w:sectPr w:rsidRPr="00FA734B" w:rsidR="00AD52DB" w:rsidSect="00AD52D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nPLPKx9" int2:invalidationBookmarkName="" int2:hashCode="oiWi8oS/HTxQ+t" int2:id="mBIm66a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57bf2c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138a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05f6b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b9b0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04438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36ff1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9a683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662DE4"/>
    <w:multiLevelType w:val="multilevel"/>
    <w:tmpl w:val="931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B3611BE"/>
    <w:multiLevelType w:val="hybridMultilevel"/>
    <w:tmpl w:val="55D8D9F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5D4B1D"/>
    <w:multiLevelType w:val="hybridMultilevel"/>
    <w:tmpl w:val="C0C28B16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DD1CA1"/>
    <w:multiLevelType w:val="multilevel"/>
    <w:tmpl w:val="051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5CE346F"/>
    <w:multiLevelType w:val="multilevel"/>
    <w:tmpl w:val="6F9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A3C22F9"/>
    <w:multiLevelType w:val="multilevel"/>
    <w:tmpl w:val="B71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B4C61F3"/>
    <w:multiLevelType w:val="hybridMultilevel"/>
    <w:tmpl w:val="F8627E56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1D5880"/>
    <w:multiLevelType w:val="hybridMultilevel"/>
    <w:tmpl w:val="65249E30"/>
    <w:lvl w:ilvl="0" w:tplc="CB16C10C">
      <w:numFmt w:val="bullet"/>
      <w:lvlText w:val="-"/>
      <w:lvlJc w:val="left"/>
      <w:pPr>
        <w:ind w:left="420" w:hanging="360"/>
      </w:pPr>
      <w:rPr>
        <w:rFonts w:hint="default" w:ascii="Century Gothic" w:hAnsi="Century Gothic" w:cs="Arial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54812E54"/>
    <w:multiLevelType w:val="hybridMultilevel"/>
    <w:tmpl w:val="F894F096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457A2F"/>
    <w:multiLevelType w:val="multilevel"/>
    <w:tmpl w:val="7B4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98F111D"/>
    <w:multiLevelType w:val="multilevel"/>
    <w:tmpl w:val="793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0183D21"/>
    <w:multiLevelType w:val="hybridMultilevel"/>
    <w:tmpl w:val="D52C8818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352DEB"/>
    <w:multiLevelType w:val="multilevel"/>
    <w:tmpl w:val="98B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C33710"/>
    <w:multiLevelType w:val="multilevel"/>
    <w:tmpl w:val="4DA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F87338C"/>
    <w:multiLevelType w:val="multilevel"/>
    <w:tmpl w:val="64C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 w16cid:durableId="455106146">
    <w:abstractNumId w:val="1"/>
  </w:num>
  <w:num w:numId="2" w16cid:durableId="1725253612">
    <w:abstractNumId w:val="4"/>
  </w:num>
  <w:num w:numId="3" w16cid:durableId="1242179581">
    <w:abstractNumId w:val="5"/>
  </w:num>
  <w:num w:numId="4" w16cid:durableId="344092141">
    <w:abstractNumId w:val="12"/>
  </w:num>
  <w:num w:numId="5" w16cid:durableId="1494757848">
    <w:abstractNumId w:val="3"/>
  </w:num>
  <w:num w:numId="6" w16cid:durableId="1553541835">
    <w:abstractNumId w:val="14"/>
  </w:num>
  <w:num w:numId="7" w16cid:durableId="254556755">
    <w:abstractNumId w:val="10"/>
  </w:num>
  <w:num w:numId="8" w16cid:durableId="671295714">
    <w:abstractNumId w:val="13"/>
  </w:num>
  <w:num w:numId="9" w16cid:durableId="2092457860">
    <w:abstractNumId w:val="9"/>
  </w:num>
  <w:num w:numId="10" w16cid:durableId="1230843553">
    <w:abstractNumId w:val="0"/>
  </w:num>
  <w:num w:numId="11" w16cid:durableId="1722556609">
    <w:abstractNumId w:val="6"/>
  </w:num>
  <w:num w:numId="12" w16cid:durableId="1437020245">
    <w:abstractNumId w:val="11"/>
  </w:num>
  <w:num w:numId="13" w16cid:durableId="1675304273">
    <w:abstractNumId w:val="8"/>
  </w:num>
  <w:num w:numId="14" w16cid:durableId="1752197372">
    <w:abstractNumId w:val="7"/>
  </w:num>
  <w:num w:numId="15" w16cid:durableId="101456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10"/>
    <w:rsid w:val="00014432"/>
    <w:rsid w:val="003007BB"/>
    <w:rsid w:val="00343100"/>
    <w:rsid w:val="00356916"/>
    <w:rsid w:val="00397C10"/>
    <w:rsid w:val="003F1282"/>
    <w:rsid w:val="004C1F12"/>
    <w:rsid w:val="00522E1F"/>
    <w:rsid w:val="00573A71"/>
    <w:rsid w:val="005A6A7C"/>
    <w:rsid w:val="005C4D17"/>
    <w:rsid w:val="00816627"/>
    <w:rsid w:val="008571BD"/>
    <w:rsid w:val="008D03FF"/>
    <w:rsid w:val="00A16062"/>
    <w:rsid w:val="00A4191E"/>
    <w:rsid w:val="00A92F90"/>
    <w:rsid w:val="00AB7668"/>
    <w:rsid w:val="00AD52DB"/>
    <w:rsid w:val="00BC3292"/>
    <w:rsid w:val="00D13065"/>
    <w:rsid w:val="00DD57FA"/>
    <w:rsid w:val="00F72F54"/>
    <w:rsid w:val="00FA734B"/>
    <w:rsid w:val="015BF166"/>
    <w:rsid w:val="0194B581"/>
    <w:rsid w:val="026D2296"/>
    <w:rsid w:val="0296D296"/>
    <w:rsid w:val="0CFF2553"/>
    <w:rsid w:val="0E9AF5B4"/>
    <w:rsid w:val="0F4AF0A8"/>
    <w:rsid w:val="101B9CA4"/>
    <w:rsid w:val="10F486B7"/>
    <w:rsid w:val="12C55925"/>
    <w:rsid w:val="137EA751"/>
    <w:rsid w:val="15EB3864"/>
    <w:rsid w:val="160B08DF"/>
    <w:rsid w:val="16D9CDDA"/>
    <w:rsid w:val="17867875"/>
    <w:rsid w:val="1C47305B"/>
    <w:rsid w:val="1D70A7A4"/>
    <w:rsid w:val="1FDDAF7A"/>
    <w:rsid w:val="206613FE"/>
    <w:rsid w:val="23714EB6"/>
    <w:rsid w:val="26766616"/>
    <w:rsid w:val="29EACEAC"/>
    <w:rsid w:val="29F3CDE7"/>
    <w:rsid w:val="2A7B5C1D"/>
    <w:rsid w:val="2C03D21B"/>
    <w:rsid w:val="2D4E9C5F"/>
    <w:rsid w:val="30A2A985"/>
    <w:rsid w:val="31D1DBA1"/>
    <w:rsid w:val="383405DC"/>
    <w:rsid w:val="3D497FF9"/>
    <w:rsid w:val="3FBBE132"/>
    <w:rsid w:val="41AC383B"/>
    <w:rsid w:val="4207289A"/>
    <w:rsid w:val="43E1CD88"/>
    <w:rsid w:val="45FAD8E4"/>
    <w:rsid w:val="4666D908"/>
    <w:rsid w:val="4733361F"/>
    <w:rsid w:val="4826599A"/>
    <w:rsid w:val="4898B2B2"/>
    <w:rsid w:val="490CC050"/>
    <w:rsid w:val="49C229FB"/>
    <w:rsid w:val="4A1A60A6"/>
    <w:rsid w:val="4CC9A350"/>
    <w:rsid w:val="56F9DDBE"/>
    <w:rsid w:val="57CFE406"/>
    <w:rsid w:val="586FAE6A"/>
    <w:rsid w:val="5D760239"/>
    <w:rsid w:val="5FBFCC7A"/>
    <w:rsid w:val="602BCC9E"/>
    <w:rsid w:val="615B9CDB"/>
    <w:rsid w:val="637EDEBC"/>
    <w:rsid w:val="665ACBF6"/>
    <w:rsid w:val="66B71727"/>
    <w:rsid w:val="6A7F13FE"/>
    <w:rsid w:val="6C997B69"/>
    <w:rsid w:val="71D5E5D2"/>
    <w:rsid w:val="724C5B3B"/>
    <w:rsid w:val="74FD02F3"/>
    <w:rsid w:val="795A98DA"/>
    <w:rsid w:val="7966A831"/>
    <w:rsid w:val="79B9DD4F"/>
    <w:rsid w:val="7C1EA76C"/>
    <w:rsid w:val="7F16D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A030"/>
  <w15:chartTrackingRefBased/>
  <w15:docId w15:val="{FEEBDD5A-777B-45D7-9EEE-C3514482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C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A734B"/>
    <w:pPr>
      <w:ind w:left="720"/>
      <w:contextualSpacing/>
    </w:pPr>
  </w:style>
  <w:style w:type="paragraph" w:styleId="paragraph" w:customStyle="1">
    <w:name w:val="paragraph"/>
    <w:basedOn w:val="Normal"/>
    <w:rsid w:val="00FA73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A734B"/>
  </w:style>
  <w:style w:type="character" w:styleId="eop" w:customStyle="1">
    <w:name w:val="eop"/>
    <w:basedOn w:val="DefaultParagraphFont"/>
    <w:rsid w:val="00FA734B"/>
  </w:style>
  <w:style w:type="paragraph" w:styleId="NormalWeb">
    <w:name w:val="Normal (Web)"/>
    <w:basedOn w:val="Normal"/>
    <w:uiPriority w:val="99"/>
    <w:semiHidden/>
    <w:unhideWhenUsed/>
    <w:rsid w:val="00A419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microsoft.com/office/2020/10/relationships/intelligence" Target="intelligence2.xml" Id="Rea69a24da1d74e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C7927A5F6C4FA28BD3374E258CEA" ma:contentTypeVersion="6" ma:contentTypeDescription="Create a new document." ma:contentTypeScope="" ma:versionID="7a767e39f88326c658171b5e4e49a47a">
  <xsd:schema xmlns:xsd="http://www.w3.org/2001/XMLSchema" xmlns:xs="http://www.w3.org/2001/XMLSchema" xmlns:p="http://schemas.microsoft.com/office/2006/metadata/properties" xmlns:ns2="d6e7d4cb-c3ce-40f4-8a27-fbb6e6ef8879" targetNamespace="http://schemas.microsoft.com/office/2006/metadata/properties" ma:root="true" ma:fieldsID="0c466ce91249fd766bd93e53113a11ec" ns2:_="">
    <xsd:import namespace="d6e7d4cb-c3ce-40f4-8a27-fbb6e6ef8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7d4cb-c3ce-40f4-8a27-fbb6e6ef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77A84-D011-4E2C-B9B2-7C7C21A61131}"/>
</file>

<file path=customXml/itemProps2.xml><?xml version="1.0" encoding="utf-8"?>
<ds:datastoreItem xmlns:ds="http://schemas.openxmlformats.org/officeDocument/2006/customXml" ds:itemID="{D1DD8F6D-5A8C-4732-A6F6-CDD3E7E6B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1418-4A00-4B34-9300-6F6B9B592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 Kear</dc:creator>
  <keywords/>
  <dc:description/>
  <lastModifiedBy>D Kear</lastModifiedBy>
  <revision>4</revision>
  <dcterms:created xsi:type="dcterms:W3CDTF">2023-09-01T09:50:00.0000000Z</dcterms:created>
  <dcterms:modified xsi:type="dcterms:W3CDTF">2023-09-12T21:36:59.8898371Z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0x010100B22AC7927A5F6C4FA28BD3374E258CEA</vt:lpwstr>
  </property>
  <property fmtid="{D5CDD505-2E9C-101B-9397-08002B2CF9AE}" pid="3" name="Order">
    <vt:r8>73300</vt:r8>
  </property>
  <property fmtid="{D5CDD505-2E9C-101B-9397-08002B2CF9AE}" pid="4" name="xd_Signature">
    <vt:bool>false</vt:bool>
  </property>
  <property fmtid="{D5CDD505-2E9C-101B-9397-08002B2CF9AE}" pid="5" name="SharedWithUsers">
    <vt:lpwstr>18;#L Castilla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